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ascii="Times New Roman" w:hAnsi="Times New Roman"/>
          <w:b/>
          <w:sz w:val="28"/>
          <w:szCs w:val="28"/>
        </w:rPr>
        <w:t>厦门市国贸协和双语高级中学</w:t>
      </w:r>
    </w:p>
    <w:p>
      <w:pPr>
        <w:spacing w:line="360" w:lineRule="auto"/>
        <w:ind w:firstLine="562" w:firstLineChars="200"/>
        <w:jc w:val="center"/>
        <w:rPr>
          <w:rFonts w:ascii="Times New Roman" w:hAnsi="Times New Roman"/>
          <w:b/>
          <w:sz w:val="28"/>
          <w:szCs w:val="28"/>
        </w:rPr>
      </w:pPr>
      <w:r>
        <w:rPr>
          <w:rFonts w:ascii="Times New Roman" w:hAnsi="Times New Roman"/>
          <w:b/>
          <w:sz w:val="28"/>
          <w:szCs w:val="28"/>
        </w:rPr>
        <w:t>课程</w:t>
      </w:r>
      <w:r>
        <w:rPr>
          <w:rFonts w:hint="eastAsia" w:ascii="Times New Roman" w:hAnsi="Times New Roman"/>
          <w:b/>
          <w:sz w:val="28"/>
          <w:szCs w:val="28"/>
        </w:rPr>
        <w:t>实施方案</w:t>
      </w:r>
    </w:p>
    <w:p>
      <w:pPr>
        <w:spacing w:line="360" w:lineRule="auto"/>
        <w:ind w:firstLine="420" w:firstLineChars="200"/>
        <w:rPr>
          <w:rFonts w:ascii="Times New Roman" w:hAnsi="Times New Roman"/>
        </w:rPr>
      </w:pPr>
      <w:r>
        <w:rPr>
          <w:rFonts w:ascii="Times New Roman" w:hAnsi="Times New Roman"/>
        </w:rPr>
        <w:t xml:space="preserve">  厦门市国贸协和双语高级中学是由厦门市国贸教育集团与上海浦东新区协和教育中心共同举办，是一所普通全日制高级双语中学。在严格遵循国家课程标准的前提下，加入校本跨文化课程与国际教育中的探究性学习的教育理念，为学生适应社会生活、高等教育和职业发展</w:t>
      </w:r>
      <w:r>
        <w:rPr>
          <w:rFonts w:hint="eastAsia" w:ascii="Times New Roman" w:hAnsi="Times New Roman"/>
        </w:rPr>
        <w:t>做</w:t>
      </w:r>
      <w:r>
        <w:rPr>
          <w:rFonts w:ascii="Times New Roman" w:hAnsi="Times New Roman"/>
        </w:rPr>
        <w:t>准备，也为学生的终身发展奠定基础。</w:t>
      </w:r>
    </w:p>
    <w:p>
      <w:pPr>
        <w:spacing w:line="360" w:lineRule="auto"/>
        <w:ind w:firstLine="420"/>
        <w:rPr>
          <w:rFonts w:ascii="Times New Roman" w:hAnsi="Times New Roman"/>
        </w:rPr>
      </w:pPr>
      <w:r>
        <w:rPr>
          <w:rFonts w:ascii="Times New Roman" w:hAnsi="Times New Roman"/>
        </w:rPr>
        <w:t xml:space="preserve"> 厦门国贸协和区协和双语学校在“多元、平衡、包容、创新”的学校价值观引领下，致力于提供学生高品质，多元化，全面化的全人教育。学校致力于根植中国文化，以发展核心素养为核心，培养具有社会责任感、具有国际视野与胸怀；学科基础扎实且勇于探究和创新；具有中英文双语能力、交往能力、解决问题的能力及终身学习能力的人才。我们希望培养的学生全面发展，能成为有责任心的国民和公民，和具有仁爱和坚毅精神的未来领袖。通过三年高中的系统学习，学生既可以完成国家课程的基本要求，亦达到国际预科课程的学术要求，并顺利申请全球范围内的高等教育院校。</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 xml:space="preserve"> 在教育教学改革不断向纵深发展的今天，学校基于政策环境、社会需求、学校文化、学生成长，着眼于学生、教师、学校三位一体的和谐及可持续性发展来进行教学方案的设定。我们立足学生的全面发展，并将此作为学校研制课程计划的基础，进一步明晰课程目标、制定课程结构，使学校课程计划更有针对性，从而进一步提升学校课程的合理性、有效性，推动学校的内涵发展。</w:t>
      </w:r>
    </w:p>
    <w:p>
      <w:pPr>
        <w:spacing w:line="360" w:lineRule="auto"/>
        <w:jc w:val="left"/>
        <w:rPr>
          <w:rFonts w:ascii="Times New Roman" w:hAnsi="Times New Roman"/>
          <w:color w:val="000000"/>
          <w:szCs w:val="21"/>
        </w:rPr>
      </w:pPr>
    </w:p>
    <w:p>
      <w:pPr>
        <w:spacing w:line="360" w:lineRule="auto"/>
        <w:jc w:val="left"/>
        <w:rPr>
          <w:rFonts w:ascii="Times New Roman" w:hAnsi="Times New Roman"/>
          <w:b/>
          <w:color w:val="002060"/>
          <w:szCs w:val="21"/>
        </w:rPr>
      </w:pPr>
      <w:r>
        <w:rPr>
          <w:rFonts w:ascii="Times New Roman" w:hAnsi="Times New Roman"/>
          <w:b/>
          <w:color w:val="002060"/>
          <w:szCs w:val="21"/>
        </w:rPr>
        <w:t>一、课程背景分析：</w:t>
      </w:r>
    </w:p>
    <w:p>
      <w:pPr>
        <w:pStyle w:val="15"/>
        <w:spacing w:line="360" w:lineRule="auto"/>
        <w:ind w:firstLine="0" w:firstLineChars="0"/>
        <w:jc w:val="left"/>
        <w:rPr>
          <w:rFonts w:ascii="Times New Roman" w:hAnsi="Times New Roman"/>
          <w:b/>
          <w:color w:val="002060"/>
          <w:szCs w:val="21"/>
        </w:rPr>
      </w:pPr>
      <w:r>
        <w:rPr>
          <w:rFonts w:ascii="Times New Roman" w:hAnsi="Times New Roman"/>
          <w:b/>
          <w:color w:val="002060"/>
          <w:szCs w:val="21"/>
        </w:rPr>
        <w:t>国家课程政策分析与教学原则制定</w:t>
      </w:r>
    </w:p>
    <w:p>
      <w:pPr>
        <w:pStyle w:val="2"/>
        <w:widowControl/>
        <w:shd w:val="clear" w:color="auto" w:fill="FFFFFF"/>
        <w:spacing w:before="0" w:beforeAutospacing="0" w:after="0" w:afterAutospacing="0" w:line="360" w:lineRule="auto"/>
        <w:rPr>
          <w:rFonts w:hint="default" w:ascii="Times New Roman" w:hAnsi="Times New Roman"/>
          <w:b w:val="0"/>
          <w:kern w:val="2"/>
          <w:sz w:val="21"/>
          <w:szCs w:val="21"/>
        </w:rPr>
      </w:pPr>
      <w:r>
        <w:rPr>
          <w:rFonts w:hint="default" w:ascii="Times New Roman" w:hAnsi="Times New Roman"/>
          <w:b w:val="0"/>
          <w:color w:val="000000"/>
          <w:kern w:val="2"/>
          <w:sz w:val="21"/>
          <w:szCs w:val="21"/>
        </w:rPr>
        <w:t xml:space="preserve">   国家高中课程政策主要有：国务院发布的《国务院关于基础教育改革与发展的决定》、《普通高中课程实施方案》、《福建省教育厅关于做好普通高中（2018级）课程实施有关工作的通知》、《福建省人民政府关于印发福建省深化考试招生制度改革实施（2016）》。</w:t>
      </w:r>
      <w:r>
        <w:rPr>
          <w:rFonts w:ascii="Times New Roman" w:hAnsi="Times New Roman"/>
          <w:b w:val="0"/>
          <w:color w:val="000000"/>
          <w:kern w:val="2"/>
          <w:sz w:val="21"/>
          <w:szCs w:val="21"/>
        </w:rPr>
        <w:t>普高方向课程将严格落实国家课程理念，国际班方向则</w:t>
      </w:r>
      <w:r>
        <w:rPr>
          <w:rFonts w:hint="default" w:ascii="Times New Roman" w:hAnsi="Times New Roman"/>
          <w:b w:val="0"/>
          <w:color w:val="000000"/>
          <w:kern w:val="2"/>
          <w:sz w:val="21"/>
          <w:szCs w:val="21"/>
        </w:rPr>
        <w:t>在遵循</w:t>
      </w:r>
      <w:r>
        <w:rPr>
          <w:rFonts w:hint="default" w:ascii="Times New Roman" w:hAnsi="Times New Roman"/>
          <w:b w:val="0"/>
          <w:kern w:val="2"/>
          <w:sz w:val="21"/>
          <w:szCs w:val="21"/>
        </w:rPr>
        <w:t>国家课程</w:t>
      </w:r>
      <w:r>
        <w:rPr>
          <w:rFonts w:ascii="Times New Roman" w:hAnsi="Times New Roman"/>
          <w:b w:val="0"/>
          <w:kern w:val="2"/>
          <w:sz w:val="21"/>
          <w:szCs w:val="21"/>
        </w:rPr>
        <w:t>理念的基础上</w:t>
      </w:r>
      <w:r>
        <w:rPr>
          <w:rFonts w:hint="default" w:ascii="Times New Roman" w:hAnsi="Times New Roman"/>
          <w:b w:val="0"/>
          <w:kern w:val="2"/>
          <w:sz w:val="21"/>
          <w:szCs w:val="21"/>
        </w:rPr>
        <w:t>，充分体现英国大学预科课程优势与协和校本融合课程特色，帮助学生能够在全球范围内申请高校是我校课程计划的首要指导。</w:t>
      </w:r>
    </w:p>
    <w:p>
      <w:pPr>
        <w:spacing w:line="360" w:lineRule="auto"/>
        <w:ind w:firstLine="420" w:firstLineChars="200"/>
        <w:jc w:val="left"/>
        <w:rPr>
          <w:rFonts w:ascii="Times New Roman" w:hAnsi="Times New Roman"/>
          <w:szCs w:val="21"/>
        </w:rPr>
      </w:pPr>
      <w:r>
        <w:rPr>
          <w:rFonts w:ascii="Times New Roman" w:hAnsi="Times New Roman"/>
          <w:szCs w:val="21"/>
        </w:rPr>
        <w:t>基于以上政策与学校定位考虑，</w:t>
      </w:r>
      <w:r>
        <w:rPr>
          <w:rFonts w:hint="eastAsia" w:ascii="Times New Roman" w:hAnsi="Times New Roman"/>
          <w:szCs w:val="21"/>
        </w:rPr>
        <w:t>我校将不同实行双轨制，普高方向教学方案将紧随国家课程标准；</w:t>
      </w:r>
      <w:r>
        <w:rPr>
          <w:rFonts w:ascii="Times New Roman" w:hAnsi="Times New Roman"/>
          <w:szCs w:val="21"/>
        </w:rPr>
        <w:t>我校的</w:t>
      </w:r>
      <w:r>
        <w:rPr>
          <w:rFonts w:hint="eastAsia" w:ascii="Times New Roman" w:hAnsi="Times New Roman"/>
          <w:szCs w:val="21"/>
        </w:rPr>
        <w:t>国际方向</w:t>
      </w:r>
      <w:r>
        <w:rPr>
          <w:rFonts w:ascii="Times New Roman" w:hAnsi="Times New Roman"/>
          <w:szCs w:val="21"/>
        </w:rPr>
        <w:t>教学方案将遵循以下原则：</w:t>
      </w:r>
    </w:p>
    <w:p>
      <w:pPr>
        <w:pStyle w:val="15"/>
        <w:numPr>
          <w:ilvl w:val="0"/>
          <w:numId w:val="1"/>
        </w:numPr>
        <w:spacing w:line="360" w:lineRule="auto"/>
        <w:ind w:firstLineChars="0"/>
        <w:jc w:val="left"/>
        <w:rPr>
          <w:rFonts w:ascii="Times New Roman" w:hAnsi="Times New Roman"/>
          <w:szCs w:val="21"/>
        </w:rPr>
      </w:pPr>
      <w:r>
        <w:rPr>
          <w:rFonts w:ascii="Times New Roman" w:hAnsi="Times New Roman"/>
          <w:szCs w:val="21"/>
        </w:rPr>
        <w:t>明确学生的主体性、强调教师的主导性；</w:t>
      </w:r>
    </w:p>
    <w:p>
      <w:pPr>
        <w:pStyle w:val="15"/>
        <w:numPr>
          <w:ilvl w:val="0"/>
          <w:numId w:val="1"/>
        </w:numPr>
        <w:spacing w:line="360" w:lineRule="auto"/>
        <w:ind w:firstLineChars="0"/>
        <w:jc w:val="left"/>
        <w:rPr>
          <w:rFonts w:ascii="Times New Roman" w:hAnsi="Times New Roman"/>
          <w:szCs w:val="21"/>
        </w:rPr>
      </w:pPr>
      <w:r>
        <w:rPr>
          <w:rFonts w:ascii="Times New Roman" w:hAnsi="Times New Roman"/>
          <w:szCs w:val="21"/>
        </w:rPr>
        <w:t>夯实国本人文课程基础、注重综合能力培养；</w:t>
      </w:r>
    </w:p>
    <w:p>
      <w:pPr>
        <w:pStyle w:val="15"/>
        <w:numPr>
          <w:ilvl w:val="0"/>
          <w:numId w:val="1"/>
        </w:numPr>
        <w:spacing w:line="360" w:lineRule="auto"/>
        <w:ind w:firstLineChars="0"/>
        <w:jc w:val="left"/>
        <w:rPr>
          <w:rFonts w:ascii="Times New Roman" w:hAnsi="Times New Roman"/>
          <w:szCs w:val="21"/>
        </w:rPr>
      </w:pPr>
      <w:r>
        <w:rPr>
          <w:rFonts w:ascii="Times New Roman" w:hAnsi="Times New Roman"/>
          <w:szCs w:val="21"/>
        </w:rPr>
        <w:t>聚焦学生学科能力与考试成绩；</w:t>
      </w:r>
    </w:p>
    <w:p>
      <w:pPr>
        <w:pStyle w:val="15"/>
        <w:numPr>
          <w:ilvl w:val="0"/>
          <w:numId w:val="1"/>
        </w:numPr>
        <w:spacing w:line="360" w:lineRule="auto"/>
        <w:ind w:firstLineChars="0"/>
        <w:jc w:val="left"/>
        <w:rPr>
          <w:rFonts w:ascii="Times New Roman" w:hAnsi="Times New Roman"/>
          <w:szCs w:val="21"/>
        </w:rPr>
      </w:pPr>
      <w:r>
        <w:rPr>
          <w:rFonts w:ascii="Times New Roman" w:hAnsi="Times New Roman"/>
          <w:szCs w:val="21"/>
        </w:rPr>
        <w:t>注重学生双语能力发展，帮助学生逐步适应全英文的学科教学环境，并实现英语标化考试成绩达到学生的高校申请要求；</w:t>
      </w:r>
    </w:p>
    <w:p>
      <w:pPr>
        <w:pStyle w:val="15"/>
        <w:numPr>
          <w:ilvl w:val="0"/>
          <w:numId w:val="1"/>
        </w:numPr>
        <w:spacing w:line="360" w:lineRule="auto"/>
        <w:ind w:firstLineChars="0"/>
        <w:jc w:val="left"/>
        <w:rPr>
          <w:rFonts w:ascii="Times New Roman" w:hAnsi="Times New Roman"/>
          <w:szCs w:val="21"/>
        </w:rPr>
      </w:pPr>
      <w:r>
        <w:rPr>
          <w:rFonts w:ascii="Times New Roman" w:hAnsi="Times New Roman"/>
          <w:szCs w:val="21"/>
        </w:rPr>
        <w:t>关注个体差异，学生上课实行走班制，实施分层教学，培优补差。</w:t>
      </w:r>
    </w:p>
    <w:p>
      <w:pPr>
        <w:pStyle w:val="15"/>
        <w:spacing w:line="360" w:lineRule="auto"/>
        <w:ind w:firstLine="0" w:firstLineChars="0"/>
        <w:jc w:val="left"/>
        <w:rPr>
          <w:rFonts w:ascii="Times New Roman" w:hAnsi="Times New Roman"/>
          <w:b/>
          <w:color w:val="002060"/>
          <w:szCs w:val="21"/>
        </w:rPr>
      </w:pPr>
      <w:r>
        <w:rPr>
          <w:rFonts w:ascii="Times New Roman" w:hAnsi="Times New Roman"/>
          <w:b/>
          <w:color w:val="002060"/>
          <w:szCs w:val="21"/>
        </w:rPr>
        <w:t>学校生源情况分析</w:t>
      </w:r>
    </w:p>
    <w:p>
      <w:pPr>
        <w:spacing w:line="360" w:lineRule="auto"/>
        <w:ind w:firstLine="420"/>
        <w:jc w:val="left"/>
        <w:rPr>
          <w:rFonts w:ascii="Times New Roman" w:hAnsi="Times New Roman"/>
          <w:color w:val="000000"/>
        </w:rPr>
      </w:pPr>
      <w:r>
        <w:rPr>
          <w:rFonts w:hint="eastAsia" w:ascii="Times New Roman" w:hAnsi="Times New Roman"/>
          <w:color w:val="000000"/>
        </w:rPr>
        <w:t>学校从2</w:t>
      </w:r>
      <w:r>
        <w:rPr>
          <w:rFonts w:ascii="Times New Roman" w:hAnsi="Times New Roman"/>
          <w:color w:val="000000"/>
        </w:rPr>
        <w:t>019</w:t>
      </w:r>
      <w:r>
        <w:rPr>
          <w:rFonts w:hint="eastAsia" w:ascii="Times New Roman" w:hAnsi="Times New Roman"/>
          <w:color w:val="000000"/>
        </w:rPr>
        <w:t>年开始办学</w:t>
      </w:r>
      <w:r>
        <w:rPr>
          <w:rFonts w:ascii="Times New Roman" w:hAnsi="Times New Roman"/>
          <w:color w:val="000000"/>
        </w:rPr>
        <w:t>，</w:t>
      </w:r>
      <w:r>
        <w:rPr>
          <w:rFonts w:hint="eastAsia" w:ascii="Times New Roman" w:hAnsi="Times New Roman"/>
          <w:color w:val="000000"/>
        </w:rPr>
        <w:t>2</w:t>
      </w:r>
      <w:r>
        <w:rPr>
          <w:rFonts w:ascii="Times New Roman" w:hAnsi="Times New Roman"/>
          <w:color w:val="000000"/>
        </w:rPr>
        <w:t>019</w:t>
      </w:r>
      <w:r>
        <w:rPr>
          <w:rFonts w:hint="eastAsia" w:ascii="Times New Roman" w:hAnsi="Times New Roman"/>
          <w:color w:val="000000"/>
        </w:rPr>
        <w:t>-</w:t>
      </w:r>
      <w:r>
        <w:rPr>
          <w:rFonts w:ascii="Times New Roman" w:hAnsi="Times New Roman"/>
          <w:color w:val="000000"/>
        </w:rPr>
        <w:t>2020</w:t>
      </w:r>
      <w:r>
        <w:rPr>
          <w:rFonts w:hint="eastAsia" w:ascii="Times New Roman" w:hAnsi="Times New Roman"/>
          <w:color w:val="000000"/>
        </w:rPr>
        <w:t>学年仅开设了国际方向，</w:t>
      </w:r>
      <w:r>
        <w:rPr>
          <w:rFonts w:ascii="Times New Roman" w:hAnsi="Times New Roman"/>
          <w:color w:val="000000"/>
        </w:rPr>
        <w:t>学生在</w:t>
      </w:r>
      <w:r>
        <w:rPr>
          <w:rFonts w:hint="eastAsia" w:ascii="Times New Roman" w:hAnsi="Times New Roman"/>
          <w:color w:val="000000"/>
        </w:rPr>
        <w:t>小、</w:t>
      </w:r>
      <w:r>
        <w:rPr>
          <w:rFonts w:ascii="Times New Roman" w:hAnsi="Times New Roman"/>
          <w:color w:val="000000"/>
        </w:rPr>
        <w:t>初阶段未全面接触过国际化课程，英语主要是作为学科知识来学习，因此面临以下挑战：</w:t>
      </w:r>
    </w:p>
    <w:p>
      <w:pPr>
        <w:pStyle w:val="15"/>
        <w:numPr>
          <w:ilvl w:val="0"/>
          <w:numId w:val="2"/>
        </w:numPr>
        <w:spacing w:line="360" w:lineRule="auto"/>
        <w:ind w:firstLineChars="0"/>
        <w:jc w:val="left"/>
        <w:rPr>
          <w:rFonts w:ascii="Times New Roman" w:hAnsi="Times New Roman"/>
          <w:color w:val="000000"/>
        </w:rPr>
      </w:pPr>
      <w:r>
        <w:rPr>
          <w:rFonts w:ascii="Times New Roman" w:hAnsi="Times New Roman"/>
          <w:color w:val="000000"/>
        </w:rPr>
        <w:t>学生在需完成国家基础课程并达到会考要求的基础上，同时也能够完成课程的学习并取得优异的学术成绩；</w:t>
      </w:r>
    </w:p>
    <w:p>
      <w:pPr>
        <w:pStyle w:val="15"/>
        <w:numPr>
          <w:ilvl w:val="0"/>
          <w:numId w:val="2"/>
        </w:numPr>
        <w:spacing w:line="360" w:lineRule="auto"/>
        <w:ind w:firstLineChars="0"/>
        <w:jc w:val="left"/>
        <w:rPr>
          <w:rFonts w:ascii="Times New Roman" w:hAnsi="Times New Roman"/>
          <w:color w:val="000000"/>
        </w:rPr>
      </w:pPr>
      <w:r>
        <w:rPr>
          <w:rFonts w:ascii="Times New Roman" w:hAnsi="Times New Roman"/>
          <w:color w:val="000000"/>
        </w:rPr>
        <w:t>英语语言的实际运用能力相较于国际化高中的语言要求存在较大差距，如适应的学科全英文学习上会存在较大障碍；</w:t>
      </w:r>
    </w:p>
    <w:p>
      <w:pPr>
        <w:pStyle w:val="15"/>
        <w:numPr>
          <w:ilvl w:val="0"/>
          <w:numId w:val="2"/>
        </w:numPr>
        <w:spacing w:line="360" w:lineRule="auto"/>
        <w:ind w:firstLineChars="0"/>
        <w:jc w:val="left"/>
        <w:rPr>
          <w:rFonts w:ascii="Times New Roman" w:hAnsi="Times New Roman"/>
          <w:color w:val="000000"/>
        </w:rPr>
      </w:pPr>
      <w:r>
        <w:rPr>
          <w:rFonts w:ascii="Times New Roman" w:hAnsi="Times New Roman"/>
          <w:color w:val="000000"/>
        </w:rPr>
        <w:t>国际化课程对学生的学习方式、学习能力素养、中西方跨文化认识、全球视野提出新的要求；</w:t>
      </w:r>
    </w:p>
    <w:p>
      <w:pPr>
        <w:spacing w:line="360" w:lineRule="auto"/>
        <w:jc w:val="left"/>
        <w:rPr>
          <w:rFonts w:ascii="Times New Roman" w:hAnsi="Times New Roman"/>
          <w:color w:val="000000"/>
        </w:rPr>
      </w:pPr>
      <w:r>
        <w:rPr>
          <w:rFonts w:ascii="Times New Roman" w:hAnsi="Times New Roman"/>
          <w:color w:val="000000"/>
        </w:rPr>
        <w:t xml:space="preserve">    基于以上客观情况的分析，为实现学生能高中三年后顺利申请国外优秀大学，</w:t>
      </w:r>
      <w:r>
        <w:rPr>
          <w:rFonts w:hint="eastAsia" w:ascii="Times New Roman" w:hAnsi="Times New Roman"/>
          <w:color w:val="000000"/>
        </w:rPr>
        <w:t>学校</w:t>
      </w:r>
      <w:r>
        <w:rPr>
          <w:rFonts w:ascii="Times New Roman" w:hAnsi="Times New Roman"/>
          <w:color w:val="000000"/>
        </w:rPr>
        <w:t>认为学生对课程基本需求为：国本课程基础夯实、英语语言实际应用能力高、语言标准化考试成绩符合申请大学要求、学术成绩优异、综合能力素养高；另外，课程还需能满足学生自身的兴趣，从而体现学生个体差异，彰显高中阶段独特个性与特长。</w:t>
      </w:r>
    </w:p>
    <w:p>
      <w:pPr>
        <w:spacing w:line="360" w:lineRule="auto"/>
        <w:ind w:firstLine="420" w:firstLineChars="200"/>
        <w:jc w:val="left"/>
        <w:rPr>
          <w:rFonts w:ascii="Times New Roman" w:hAnsi="Times New Roman"/>
          <w:color w:val="000000"/>
        </w:rPr>
      </w:pPr>
      <w:r>
        <w:rPr>
          <w:rFonts w:hint="eastAsia" w:ascii="Times New Roman" w:hAnsi="Times New Roman"/>
          <w:color w:val="000000"/>
        </w:rPr>
        <w:t>学校在2</w:t>
      </w:r>
      <w:r>
        <w:rPr>
          <w:rFonts w:ascii="Times New Roman" w:hAnsi="Times New Roman"/>
          <w:color w:val="000000"/>
        </w:rPr>
        <w:t>020</w:t>
      </w:r>
      <w:r>
        <w:rPr>
          <w:rFonts w:hint="eastAsia" w:ascii="Times New Roman" w:hAnsi="Times New Roman"/>
          <w:color w:val="000000"/>
        </w:rPr>
        <w:t>年9月增设了普高方向，学生较为适应九年一贯制的教育体系。从本届学生的实际情况、水平来看，学生基础较为薄弱。高中学习内容多且难度较大，因此学生需要在查缺补漏的同时又需要接纳吸收新的知识是现阶段面临的挑战。</w:t>
      </w:r>
    </w:p>
    <w:p>
      <w:pPr>
        <w:spacing w:line="360" w:lineRule="auto"/>
        <w:jc w:val="left"/>
        <w:rPr>
          <w:rFonts w:ascii="Times New Roman" w:hAnsi="Times New Roman"/>
          <w:b/>
          <w:color w:val="002060"/>
          <w:szCs w:val="21"/>
        </w:rPr>
      </w:pPr>
    </w:p>
    <w:p>
      <w:pPr>
        <w:spacing w:line="360" w:lineRule="auto"/>
        <w:jc w:val="left"/>
        <w:rPr>
          <w:rFonts w:ascii="Times New Roman" w:hAnsi="Times New Roman"/>
          <w:b/>
          <w:color w:val="002060"/>
          <w:szCs w:val="21"/>
        </w:rPr>
      </w:pPr>
      <w:r>
        <w:rPr>
          <w:rFonts w:ascii="Times New Roman" w:hAnsi="Times New Roman"/>
          <w:b/>
          <w:color w:val="002060"/>
          <w:szCs w:val="21"/>
        </w:rPr>
        <w:t>二、课程目标与结构：</w:t>
      </w:r>
    </w:p>
    <w:p>
      <w:pPr>
        <w:spacing w:line="360" w:lineRule="auto"/>
        <w:jc w:val="left"/>
        <w:rPr>
          <w:rFonts w:ascii="Times New Roman" w:hAnsi="Times New Roman"/>
          <w:b/>
          <w:color w:val="002060"/>
          <w:szCs w:val="21"/>
        </w:rPr>
      </w:pPr>
      <w:r>
        <w:rPr>
          <w:rFonts w:ascii="Times New Roman" w:hAnsi="Times New Roman"/>
          <w:b/>
          <w:color w:val="002060"/>
          <w:szCs w:val="21"/>
        </w:rPr>
        <w:t>课程目标</w:t>
      </w:r>
    </w:p>
    <w:p>
      <w:pPr>
        <w:spacing w:line="360" w:lineRule="auto"/>
        <w:ind w:firstLine="420"/>
        <w:rPr>
          <w:rFonts w:ascii="Times New Roman" w:hAnsi="Times New Roman"/>
          <w:color w:val="000000"/>
        </w:rPr>
      </w:pPr>
      <w:r>
        <w:rPr>
          <w:rFonts w:ascii="Times New Roman" w:hAnsi="Times New Roman"/>
          <w:color w:val="000000"/>
        </w:rPr>
        <w:t>我们根据学校发展特点以及自身特色，在制定新课程计划时考虑更多的是通过我们的课程应该如何帮助学生更好地完成立足中国本土教育并高质量地完成基础课程的学习，如何更快、更有效地提升英语能力，如何更好地适应和学习课程，如何更好地衔接、适应国外大学课程，学生未来进入社会后应该具备什么样的素养；我们是否能够通过构建高中阶段丰富完善的课程体系培养学生的价值观；以及学校的课程如何满足学生的多层次、多类型、高质量的需求。</w:t>
      </w:r>
    </w:p>
    <w:p>
      <w:pPr>
        <w:spacing w:line="360" w:lineRule="auto"/>
        <w:ind w:firstLine="520"/>
        <w:jc w:val="left"/>
        <w:rPr>
          <w:rFonts w:ascii="Times New Roman" w:hAnsi="Times New Roman"/>
          <w:color w:val="000000"/>
        </w:rPr>
      </w:pPr>
      <w:r>
        <w:rPr>
          <w:rFonts w:ascii="Times New Roman" w:hAnsi="Times New Roman"/>
          <w:color w:val="000000"/>
        </w:rPr>
        <w:t>我校的课程力求立足中国本土教育，充分体现课程特色和双语特色，加强融合国家基础课程中的数理化生学科与学科的融合与建设，以充分利用教学时空；另一方面，我们也充分考虑到学生的共同特点和个体差异，采取分层教学的方法，在</w:t>
      </w:r>
      <w:r>
        <w:rPr>
          <w:rFonts w:ascii="Times New Roman" w:hAnsi="Times New Roman"/>
        </w:rPr>
        <w:t xml:space="preserve">课堂教学中既把主要精力放在面向全班学生的集体教学上，又兼顾到个别学生的差异，以利于扬长平短，帮助不同层次学生在学习上得到尽可能的发展。 </w:t>
      </w:r>
    </w:p>
    <w:p>
      <w:pPr>
        <w:spacing w:line="360" w:lineRule="auto"/>
        <w:ind w:firstLine="520"/>
        <w:jc w:val="left"/>
        <w:rPr>
          <w:rFonts w:ascii="Times New Roman" w:hAnsi="Times New Roman"/>
          <w:color w:val="000000"/>
        </w:rPr>
      </w:pPr>
      <w:r>
        <w:rPr>
          <w:rFonts w:ascii="Times New Roman" w:hAnsi="Times New Roman"/>
          <w:color w:val="000000"/>
        </w:rPr>
        <w:t>学校将开设协和校本特色课程如：德育课程、项目化研究课程、升学课程、课外活动课程，满足不同学生、多层次的需求，为学生更全面的学习和发展服务，并实施过程中不断优化和革新以上课程，从而形成国贸协和双语高级中学的特色课程。</w:t>
      </w:r>
    </w:p>
    <w:p>
      <w:pPr>
        <w:spacing w:line="360" w:lineRule="auto"/>
        <w:jc w:val="left"/>
        <w:rPr>
          <w:rFonts w:ascii="Times New Roman" w:hAnsi="Times New Roman"/>
          <w:b/>
          <w:color w:val="002060"/>
          <w:szCs w:val="21"/>
        </w:rPr>
      </w:pPr>
      <w:r>
        <w:rPr>
          <w:rFonts w:hint="eastAsia" w:ascii="Times New Roman" w:hAnsi="Times New Roman"/>
          <w:b/>
          <w:color w:val="002060"/>
          <w:szCs w:val="21"/>
        </w:rPr>
        <w:t>学校学制设置</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1008"/>
        <w:gridCol w:w="848"/>
        <w:gridCol w:w="823"/>
        <w:gridCol w:w="816"/>
        <w:gridCol w:w="801"/>
        <w:gridCol w:w="13"/>
        <w:gridCol w:w="848"/>
        <w:gridCol w:w="848"/>
        <w:gridCol w:w="69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vMerge w:val="restart"/>
          </w:tcPr>
          <w:p>
            <w:pPr>
              <w:spacing w:line="360" w:lineRule="auto"/>
              <w:jc w:val="center"/>
              <w:rPr>
                <w:rFonts w:ascii="Times New Roman" w:hAnsi="Times New Roman" w:eastAsia="宋体"/>
              </w:rPr>
            </w:pPr>
            <w:r>
              <w:rPr>
                <w:rFonts w:hint="eastAsia" w:ascii="Times New Roman" w:hAnsi="Times New Roman" w:eastAsia="宋体"/>
              </w:rPr>
              <w:t>中国学制</w:t>
            </w:r>
          </w:p>
        </w:tc>
        <w:tc>
          <w:tcPr>
            <w:tcW w:w="1139" w:type="dxa"/>
          </w:tcPr>
          <w:p>
            <w:pPr>
              <w:spacing w:line="360" w:lineRule="auto"/>
              <w:jc w:val="center"/>
              <w:rPr>
                <w:rFonts w:ascii="Times New Roman" w:hAnsi="Times New Roman" w:eastAsia="宋体"/>
              </w:rPr>
            </w:pPr>
            <w:r>
              <w:rPr>
                <w:rFonts w:hint="eastAsia" w:ascii="Times New Roman" w:hAnsi="Times New Roman" w:eastAsia="宋体"/>
              </w:rPr>
              <w:t>初中学制</w:t>
            </w:r>
          </w:p>
        </w:tc>
        <w:tc>
          <w:tcPr>
            <w:tcW w:w="2637" w:type="dxa"/>
            <w:gridSpan w:val="3"/>
          </w:tcPr>
          <w:p>
            <w:pPr>
              <w:spacing w:line="360" w:lineRule="auto"/>
              <w:jc w:val="center"/>
              <w:rPr>
                <w:rFonts w:ascii="Times New Roman" w:hAnsi="Times New Roman" w:eastAsia="宋体"/>
              </w:rPr>
            </w:pPr>
            <w:r>
              <w:rPr>
                <w:rFonts w:hint="eastAsia" w:ascii="Times New Roman" w:hAnsi="Times New Roman" w:eastAsia="宋体"/>
              </w:rPr>
              <w:t>普通高中</w:t>
            </w:r>
          </w:p>
        </w:tc>
        <w:tc>
          <w:tcPr>
            <w:tcW w:w="3536" w:type="dxa"/>
            <w:gridSpan w:val="5"/>
          </w:tcPr>
          <w:p>
            <w:pPr>
              <w:spacing w:line="360" w:lineRule="auto"/>
              <w:jc w:val="center"/>
              <w:rPr>
                <w:rFonts w:ascii="Times New Roman" w:hAnsi="Times New Roman" w:eastAsia="宋体"/>
              </w:rPr>
            </w:pPr>
            <w:r>
              <w:rPr>
                <w:rFonts w:hint="eastAsia" w:ascii="Times New Roman" w:hAnsi="Times New Roman" w:eastAsia="宋体"/>
              </w:rPr>
              <w:t>大学本科</w:t>
            </w:r>
          </w:p>
        </w:tc>
        <w:tc>
          <w:tcPr>
            <w:tcW w:w="1382" w:type="dxa"/>
          </w:tcPr>
          <w:p>
            <w:pPr>
              <w:spacing w:line="360" w:lineRule="auto"/>
              <w:jc w:val="center"/>
              <w:rPr>
                <w:rFonts w:ascii="Times New Roman" w:hAnsi="Times New Roman" w:eastAsia="宋体"/>
              </w:rPr>
            </w:pPr>
            <w:r>
              <w:rPr>
                <w:rFonts w:hint="eastAsia" w:ascii="Times New Roman" w:hAnsi="Times New Roman" w:eastAsia="宋体"/>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360" w:lineRule="auto"/>
              <w:jc w:val="center"/>
              <w:rPr>
                <w:rFonts w:ascii="Times New Roman" w:hAnsi="Times New Roman" w:eastAsia="宋体"/>
              </w:rPr>
            </w:pPr>
          </w:p>
        </w:tc>
        <w:tc>
          <w:tcPr>
            <w:tcW w:w="1139" w:type="dxa"/>
          </w:tcPr>
          <w:p>
            <w:pPr>
              <w:spacing w:line="360" w:lineRule="auto"/>
              <w:jc w:val="center"/>
              <w:rPr>
                <w:rFonts w:ascii="Times New Roman" w:hAnsi="Times New Roman" w:eastAsia="宋体"/>
              </w:rPr>
            </w:pPr>
            <w:r>
              <w:rPr>
                <w:rFonts w:hint="eastAsia" w:ascii="Times New Roman" w:hAnsi="Times New Roman" w:eastAsia="宋体"/>
              </w:rPr>
              <w:t>3年</w:t>
            </w:r>
          </w:p>
        </w:tc>
        <w:tc>
          <w:tcPr>
            <w:tcW w:w="848" w:type="dxa"/>
          </w:tcPr>
          <w:p>
            <w:pPr>
              <w:spacing w:line="360" w:lineRule="auto"/>
              <w:jc w:val="center"/>
              <w:rPr>
                <w:rFonts w:ascii="Times New Roman" w:hAnsi="Times New Roman" w:eastAsia="宋体"/>
              </w:rPr>
            </w:pPr>
            <w:r>
              <w:rPr>
                <w:rFonts w:hint="eastAsia" w:ascii="Times New Roman" w:hAnsi="Times New Roman" w:eastAsia="宋体"/>
              </w:rPr>
              <w:t>高一年级</w:t>
            </w:r>
          </w:p>
        </w:tc>
        <w:tc>
          <w:tcPr>
            <w:tcW w:w="899" w:type="dxa"/>
          </w:tcPr>
          <w:p>
            <w:pPr>
              <w:spacing w:line="360" w:lineRule="auto"/>
              <w:jc w:val="center"/>
              <w:rPr>
                <w:rFonts w:ascii="Times New Roman" w:hAnsi="Times New Roman" w:eastAsia="宋体"/>
              </w:rPr>
            </w:pPr>
            <w:r>
              <w:rPr>
                <w:rFonts w:hint="eastAsia" w:ascii="Times New Roman" w:hAnsi="Times New Roman" w:eastAsia="宋体"/>
              </w:rPr>
              <w:t>高二年级</w:t>
            </w:r>
          </w:p>
        </w:tc>
        <w:tc>
          <w:tcPr>
            <w:tcW w:w="890" w:type="dxa"/>
          </w:tcPr>
          <w:p>
            <w:pPr>
              <w:spacing w:line="360" w:lineRule="auto"/>
              <w:jc w:val="center"/>
              <w:rPr>
                <w:rFonts w:ascii="Times New Roman" w:hAnsi="Times New Roman" w:eastAsia="宋体"/>
              </w:rPr>
            </w:pPr>
            <w:r>
              <w:rPr>
                <w:rFonts w:hint="eastAsia" w:ascii="Times New Roman" w:hAnsi="Times New Roman" w:eastAsia="宋体"/>
              </w:rPr>
              <w:t>高三年级</w:t>
            </w:r>
          </w:p>
        </w:tc>
        <w:tc>
          <w:tcPr>
            <w:tcW w:w="875" w:type="dxa"/>
          </w:tcPr>
          <w:p>
            <w:pPr>
              <w:spacing w:line="360" w:lineRule="auto"/>
              <w:jc w:val="center"/>
              <w:rPr>
                <w:rFonts w:ascii="Times New Roman" w:hAnsi="Times New Roman" w:eastAsia="宋体"/>
              </w:rPr>
            </w:pPr>
            <w:r>
              <w:rPr>
                <w:rFonts w:hint="eastAsia" w:ascii="Times New Roman" w:hAnsi="Times New Roman" w:eastAsia="宋体"/>
              </w:rPr>
              <w:t>大一</w:t>
            </w:r>
          </w:p>
        </w:tc>
        <w:tc>
          <w:tcPr>
            <w:tcW w:w="959" w:type="dxa"/>
            <w:gridSpan w:val="2"/>
          </w:tcPr>
          <w:p>
            <w:pPr>
              <w:spacing w:line="360" w:lineRule="auto"/>
              <w:jc w:val="center"/>
              <w:rPr>
                <w:rFonts w:ascii="Times New Roman" w:hAnsi="Times New Roman" w:eastAsia="宋体"/>
              </w:rPr>
            </w:pPr>
            <w:r>
              <w:rPr>
                <w:rFonts w:hint="eastAsia" w:ascii="Times New Roman" w:hAnsi="Times New Roman" w:eastAsia="宋体"/>
              </w:rPr>
              <w:t>大二</w:t>
            </w:r>
          </w:p>
        </w:tc>
        <w:tc>
          <w:tcPr>
            <w:tcW w:w="943" w:type="dxa"/>
          </w:tcPr>
          <w:p>
            <w:pPr>
              <w:spacing w:line="360" w:lineRule="auto"/>
              <w:jc w:val="center"/>
              <w:rPr>
                <w:rFonts w:ascii="Times New Roman" w:hAnsi="Times New Roman" w:eastAsia="宋体"/>
              </w:rPr>
            </w:pPr>
            <w:r>
              <w:rPr>
                <w:rFonts w:hint="eastAsia" w:ascii="Times New Roman" w:hAnsi="Times New Roman" w:eastAsia="宋体"/>
              </w:rPr>
              <w:t>大三</w:t>
            </w:r>
          </w:p>
        </w:tc>
        <w:tc>
          <w:tcPr>
            <w:tcW w:w="759" w:type="dxa"/>
          </w:tcPr>
          <w:p>
            <w:pPr>
              <w:spacing w:line="360" w:lineRule="auto"/>
              <w:jc w:val="center"/>
              <w:rPr>
                <w:rFonts w:ascii="Times New Roman" w:hAnsi="Times New Roman" w:eastAsia="宋体"/>
              </w:rPr>
            </w:pPr>
            <w:r>
              <w:rPr>
                <w:rFonts w:hint="eastAsia" w:ascii="Times New Roman" w:hAnsi="Times New Roman" w:eastAsia="宋体"/>
              </w:rPr>
              <w:t>大四</w:t>
            </w:r>
          </w:p>
        </w:tc>
        <w:tc>
          <w:tcPr>
            <w:tcW w:w="1382" w:type="dxa"/>
          </w:tcPr>
          <w:p>
            <w:pPr>
              <w:spacing w:line="360" w:lineRule="auto"/>
              <w:jc w:val="center"/>
              <w:rPr>
                <w:rFonts w:ascii="Times New Roman" w:hAnsi="Times New Roman" w:eastAsia="宋体"/>
              </w:rPr>
            </w:pPr>
            <w:r>
              <w:rPr>
                <w:rFonts w:hint="eastAsia" w:ascii="Times New Roman" w:hAnsi="Times New Roman" w:eastAsia="宋体"/>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tcPr>
          <w:p>
            <w:pPr>
              <w:spacing w:line="360" w:lineRule="auto"/>
              <w:jc w:val="center"/>
              <w:rPr>
                <w:rFonts w:ascii="Times New Roman" w:hAnsi="Times New Roman" w:eastAsia="宋体"/>
              </w:rPr>
            </w:pPr>
            <w:bookmarkStart w:id="0" w:name="_Hlk39754121"/>
            <w:bookmarkStart w:id="1" w:name="_Hlk39754208"/>
            <w:r>
              <w:rPr>
                <w:rFonts w:hint="eastAsia" w:ascii="Times New Roman" w:hAnsi="Times New Roman" w:eastAsia="宋体"/>
              </w:rPr>
              <w:t>英国学制</w:t>
            </w:r>
          </w:p>
        </w:tc>
        <w:tc>
          <w:tcPr>
            <w:tcW w:w="1139" w:type="dxa"/>
          </w:tcPr>
          <w:p>
            <w:pPr>
              <w:spacing w:line="360" w:lineRule="auto"/>
              <w:jc w:val="center"/>
              <w:rPr>
                <w:rFonts w:ascii="Times New Roman" w:hAnsi="Times New Roman" w:eastAsia="宋体"/>
              </w:rPr>
            </w:pPr>
            <w:r>
              <w:rPr>
                <w:rFonts w:hint="eastAsia" w:ascii="Times New Roman" w:hAnsi="Times New Roman" w:eastAsia="宋体"/>
              </w:rPr>
              <w:t>初中学制</w:t>
            </w:r>
          </w:p>
        </w:tc>
        <w:tc>
          <w:tcPr>
            <w:tcW w:w="1747" w:type="dxa"/>
            <w:gridSpan w:val="2"/>
          </w:tcPr>
          <w:p>
            <w:pPr>
              <w:spacing w:line="360" w:lineRule="auto"/>
              <w:jc w:val="center"/>
              <w:rPr>
                <w:rFonts w:ascii="Times New Roman" w:hAnsi="Times New Roman" w:eastAsia="宋体"/>
              </w:rPr>
            </w:pPr>
            <w:r>
              <w:rPr>
                <w:rFonts w:hint="eastAsia" w:ascii="Times New Roman" w:hAnsi="Times New Roman" w:eastAsia="宋体"/>
              </w:rPr>
              <w:t>I</w:t>
            </w:r>
            <w:r>
              <w:rPr>
                <w:rFonts w:ascii="Times New Roman" w:hAnsi="Times New Roman" w:eastAsia="宋体"/>
              </w:rPr>
              <w:t>GCSE</w:t>
            </w:r>
          </w:p>
        </w:tc>
        <w:tc>
          <w:tcPr>
            <w:tcW w:w="1781" w:type="dxa"/>
            <w:gridSpan w:val="3"/>
          </w:tcPr>
          <w:p>
            <w:pPr>
              <w:spacing w:line="360" w:lineRule="auto"/>
              <w:jc w:val="center"/>
              <w:rPr>
                <w:rFonts w:ascii="Times New Roman" w:hAnsi="Times New Roman" w:eastAsia="宋体"/>
              </w:rPr>
            </w:pPr>
            <w:r>
              <w:rPr>
                <w:rFonts w:hint="eastAsia" w:ascii="Times New Roman" w:hAnsi="Times New Roman" w:eastAsia="宋体"/>
              </w:rPr>
              <w:t>A</w:t>
            </w:r>
            <w:r>
              <w:rPr>
                <w:rFonts w:ascii="Times New Roman" w:hAnsi="Times New Roman" w:eastAsia="宋体"/>
              </w:rPr>
              <w:t xml:space="preserve"> LEVEL</w:t>
            </w:r>
          </w:p>
        </w:tc>
        <w:tc>
          <w:tcPr>
            <w:tcW w:w="2645" w:type="dxa"/>
            <w:gridSpan w:val="3"/>
          </w:tcPr>
          <w:p>
            <w:pPr>
              <w:spacing w:line="360" w:lineRule="auto"/>
              <w:jc w:val="center"/>
              <w:rPr>
                <w:rFonts w:ascii="Times New Roman" w:hAnsi="Times New Roman" w:eastAsia="宋体"/>
              </w:rPr>
            </w:pPr>
            <w:r>
              <w:rPr>
                <w:rFonts w:hint="eastAsia" w:ascii="Times New Roman" w:hAnsi="Times New Roman" w:eastAsia="宋体"/>
              </w:rPr>
              <w:t>大学本科</w:t>
            </w:r>
          </w:p>
        </w:tc>
        <w:tc>
          <w:tcPr>
            <w:tcW w:w="1382" w:type="dxa"/>
          </w:tcPr>
          <w:p>
            <w:pPr>
              <w:spacing w:line="360" w:lineRule="auto"/>
              <w:jc w:val="center"/>
              <w:rPr>
                <w:rFonts w:ascii="Times New Roman" w:hAnsi="Times New Roman" w:eastAsia="宋体"/>
              </w:rPr>
            </w:pPr>
            <w:r>
              <w:rPr>
                <w:rFonts w:hint="eastAsia" w:ascii="Times New Roman" w:hAnsi="Times New Roman" w:eastAsia="宋体"/>
              </w:rPr>
              <w:t>硕士研究生</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360" w:lineRule="auto"/>
              <w:jc w:val="center"/>
              <w:rPr>
                <w:rFonts w:ascii="Times New Roman" w:hAnsi="Times New Roman" w:eastAsia="宋体"/>
              </w:rPr>
            </w:pPr>
          </w:p>
        </w:tc>
        <w:tc>
          <w:tcPr>
            <w:tcW w:w="1139" w:type="dxa"/>
          </w:tcPr>
          <w:p>
            <w:pPr>
              <w:spacing w:line="360" w:lineRule="auto"/>
              <w:jc w:val="center"/>
              <w:rPr>
                <w:rFonts w:ascii="Times New Roman" w:hAnsi="Times New Roman" w:eastAsia="宋体"/>
              </w:rPr>
            </w:pPr>
            <w:r>
              <w:rPr>
                <w:rFonts w:hint="eastAsia" w:ascii="Times New Roman" w:hAnsi="Times New Roman" w:eastAsia="宋体"/>
              </w:rPr>
              <w:t>3年</w:t>
            </w:r>
          </w:p>
        </w:tc>
        <w:tc>
          <w:tcPr>
            <w:tcW w:w="848" w:type="dxa"/>
          </w:tcPr>
          <w:p>
            <w:pPr>
              <w:spacing w:line="360" w:lineRule="auto"/>
              <w:jc w:val="center"/>
              <w:rPr>
                <w:rFonts w:ascii="Times New Roman" w:hAnsi="Times New Roman" w:eastAsia="宋体"/>
              </w:rPr>
            </w:pPr>
            <w:r>
              <w:rPr>
                <w:rFonts w:hint="eastAsia" w:ascii="Times New Roman" w:hAnsi="Times New Roman" w:eastAsia="宋体"/>
              </w:rPr>
              <w:t>G</w:t>
            </w:r>
            <w:r>
              <w:rPr>
                <w:rFonts w:ascii="Times New Roman" w:hAnsi="Times New Roman" w:eastAsia="宋体"/>
              </w:rPr>
              <w:t>1</w:t>
            </w:r>
          </w:p>
        </w:tc>
        <w:tc>
          <w:tcPr>
            <w:tcW w:w="899" w:type="dxa"/>
          </w:tcPr>
          <w:p>
            <w:pPr>
              <w:spacing w:line="360" w:lineRule="auto"/>
              <w:jc w:val="center"/>
              <w:rPr>
                <w:rFonts w:ascii="Times New Roman" w:hAnsi="Times New Roman" w:eastAsia="宋体"/>
              </w:rPr>
            </w:pPr>
            <w:r>
              <w:rPr>
                <w:rFonts w:hint="eastAsia" w:ascii="Times New Roman" w:hAnsi="Times New Roman" w:eastAsia="宋体"/>
              </w:rPr>
              <w:t>G</w:t>
            </w:r>
            <w:r>
              <w:rPr>
                <w:rFonts w:ascii="Times New Roman" w:hAnsi="Times New Roman" w:eastAsia="宋体"/>
              </w:rPr>
              <w:t>2</w:t>
            </w:r>
          </w:p>
        </w:tc>
        <w:tc>
          <w:tcPr>
            <w:tcW w:w="890" w:type="dxa"/>
          </w:tcPr>
          <w:p>
            <w:pPr>
              <w:spacing w:line="360" w:lineRule="auto"/>
              <w:jc w:val="center"/>
              <w:rPr>
                <w:rFonts w:ascii="Times New Roman" w:hAnsi="Times New Roman" w:eastAsia="宋体"/>
              </w:rPr>
            </w:pPr>
            <w:r>
              <w:rPr>
                <w:rFonts w:hint="eastAsia" w:ascii="Times New Roman" w:hAnsi="Times New Roman" w:eastAsia="宋体"/>
              </w:rPr>
              <w:t>A</w:t>
            </w:r>
            <w:r>
              <w:rPr>
                <w:rFonts w:ascii="Times New Roman" w:hAnsi="Times New Roman" w:eastAsia="宋体"/>
              </w:rPr>
              <w:t>S</w:t>
            </w:r>
          </w:p>
        </w:tc>
        <w:tc>
          <w:tcPr>
            <w:tcW w:w="891" w:type="dxa"/>
            <w:gridSpan w:val="2"/>
          </w:tcPr>
          <w:p>
            <w:pPr>
              <w:spacing w:line="360" w:lineRule="auto"/>
              <w:jc w:val="center"/>
              <w:rPr>
                <w:rFonts w:ascii="Times New Roman" w:hAnsi="Times New Roman" w:eastAsia="宋体"/>
              </w:rPr>
            </w:pPr>
            <w:r>
              <w:rPr>
                <w:rFonts w:hint="eastAsia" w:ascii="Times New Roman" w:hAnsi="Times New Roman" w:eastAsia="宋体"/>
              </w:rPr>
              <w:t>A</w:t>
            </w:r>
            <w:r>
              <w:rPr>
                <w:rFonts w:ascii="Times New Roman" w:hAnsi="Times New Roman" w:eastAsia="宋体"/>
              </w:rPr>
              <w:t>2</w:t>
            </w:r>
          </w:p>
        </w:tc>
        <w:tc>
          <w:tcPr>
            <w:tcW w:w="943" w:type="dxa"/>
          </w:tcPr>
          <w:p>
            <w:pPr>
              <w:spacing w:line="360" w:lineRule="auto"/>
              <w:jc w:val="center"/>
              <w:rPr>
                <w:rFonts w:ascii="Times New Roman" w:hAnsi="Times New Roman" w:eastAsia="宋体"/>
              </w:rPr>
            </w:pPr>
            <w:r>
              <w:rPr>
                <w:rFonts w:hint="eastAsia" w:ascii="Times New Roman" w:hAnsi="Times New Roman" w:eastAsia="宋体"/>
              </w:rPr>
              <w:t>大一</w:t>
            </w:r>
          </w:p>
        </w:tc>
        <w:tc>
          <w:tcPr>
            <w:tcW w:w="943" w:type="dxa"/>
          </w:tcPr>
          <w:p>
            <w:pPr>
              <w:spacing w:line="360" w:lineRule="auto"/>
              <w:jc w:val="center"/>
              <w:rPr>
                <w:rFonts w:ascii="Times New Roman" w:hAnsi="Times New Roman" w:eastAsia="宋体"/>
              </w:rPr>
            </w:pPr>
            <w:r>
              <w:rPr>
                <w:rFonts w:hint="eastAsia" w:ascii="Times New Roman" w:hAnsi="Times New Roman" w:eastAsia="宋体"/>
              </w:rPr>
              <w:t>大二</w:t>
            </w:r>
          </w:p>
        </w:tc>
        <w:tc>
          <w:tcPr>
            <w:tcW w:w="759" w:type="dxa"/>
          </w:tcPr>
          <w:p>
            <w:pPr>
              <w:spacing w:line="360" w:lineRule="auto"/>
              <w:jc w:val="center"/>
              <w:rPr>
                <w:rFonts w:ascii="Times New Roman" w:hAnsi="Times New Roman" w:eastAsia="宋体"/>
              </w:rPr>
            </w:pPr>
            <w:r>
              <w:rPr>
                <w:rFonts w:hint="eastAsia" w:ascii="Times New Roman" w:hAnsi="Times New Roman" w:eastAsia="宋体"/>
              </w:rPr>
              <w:t>大三</w:t>
            </w:r>
          </w:p>
        </w:tc>
        <w:tc>
          <w:tcPr>
            <w:tcW w:w="1382" w:type="dxa"/>
          </w:tcPr>
          <w:p>
            <w:pPr>
              <w:spacing w:line="360" w:lineRule="auto"/>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2</w:t>
            </w:r>
            <w:r>
              <w:rPr>
                <w:rFonts w:hint="eastAsia" w:ascii="Times New Roman" w:hAnsi="Times New Roman" w:eastAsia="宋体"/>
              </w:rPr>
              <w:t>年</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tcPr>
          <w:p>
            <w:pPr>
              <w:spacing w:line="360" w:lineRule="auto"/>
              <w:jc w:val="center"/>
              <w:rPr>
                <w:rFonts w:ascii="Times New Roman" w:hAnsi="Times New Roman" w:eastAsia="宋体"/>
              </w:rPr>
            </w:pPr>
            <w:r>
              <w:rPr>
                <w:rFonts w:hint="eastAsia" w:ascii="Times New Roman" w:hAnsi="Times New Roman" w:eastAsia="宋体"/>
              </w:rPr>
              <w:t>国贸协和学制</w:t>
            </w:r>
          </w:p>
        </w:tc>
        <w:tc>
          <w:tcPr>
            <w:tcW w:w="1139" w:type="dxa"/>
          </w:tcPr>
          <w:p>
            <w:pPr>
              <w:spacing w:line="360" w:lineRule="auto"/>
              <w:jc w:val="center"/>
              <w:rPr>
                <w:rFonts w:ascii="Times New Roman" w:hAnsi="Times New Roman" w:eastAsia="宋体"/>
              </w:rPr>
            </w:pPr>
            <w:r>
              <w:rPr>
                <w:rFonts w:hint="eastAsia" w:ascii="Times New Roman" w:hAnsi="Times New Roman" w:eastAsia="宋体"/>
              </w:rPr>
              <w:t>初中学制</w:t>
            </w:r>
          </w:p>
        </w:tc>
        <w:tc>
          <w:tcPr>
            <w:tcW w:w="848" w:type="dxa"/>
          </w:tcPr>
          <w:p>
            <w:pPr>
              <w:spacing w:line="360" w:lineRule="auto"/>
              <w:jc w:val="center"/>
              <w:rPr>
                <w:rFonts w:ascii="Times New Roman" w:hAnsi="Times New Roman" w:eastAsia="宋体"/>
              </w:rPr>
            </w:pPr>
            <w:r>
              <w:rPr>
                <w:rFonts w:hint="eastAsia" w:ascii="Times New Roman" w:hAnsi="Times New Roman" w:eastAsia="宋体"/>
              </w:rPr>
              <w:t>I</w:t>
            </w:r>
            <w:r>
              <w:rPr>
                <w:rFonts w:ascii="Times New Roman" w:hAnsi="Times New Roman" w:eastAsia="宋体"/>
              </w:rPr>
              <w:t>GCSE</w:t>
            </w:r>
          </w:p>
        </w:tc>
        <w:tc>
          <w:tcPr>
            <w:tcW w:w="1789" w:type="dxa"/>
            <w:gridSpan w:val="2"/>
          </w:tcPr>
          <w:p>
            <w:pPr>
              <w:spacing w:line="360" w:lineRule="auto"/>
              <w:jc w:val="center"/>
              <w:rPr>
                <w:rFonts w:ascii="Times New Roman" w:hAnsi="Times New Roman" w:eastAsia="宋体"/>
              </w:rPr>
            </w:pPr>
            <w:r>
              <w:rPr>
                <w:rFonts w:hint="eastAsia" w:ascii="Times New Roman" w:hAnsi="Times New Roman" w:eastAsia="宋体"/>
              </w:rPr>
              <w:t>A</w:t>
            </w:r>
            <w:r>
              <w:rPr>
                <w:rFonts w:ascii="Times New Roman" w:hAnsi="Times New Roman" w:eastAsia="宋体"/>
              </w:rPr>
              <w:t xml:space="preserve"> LEVEL</w:t>
            </w:r>
          </w:p>
        </w:tc>
        <w:tc>
          <w:tcPr>
            <w:tcW w:w="891" w:type="dxa"/>
            <w:gridSpan w:val="2"/>
            <w:shd w:val="clear" w:color="auto" w:fill="D9D9D9"/>
          </w:tcPr>
          <w:p>
            <w:pPr>
              <w:spacing w:line="360" w:lineRule="auto"/>
              <w:jc w:val="center"/>
              <w:rPr>
                <w:rFonts w:ascii="Times New Roman" w:hAnsi="Times New Roman" w:eastAsia="宋体"/>
              </w:rPr>
            </w:pPr>
          </w:p>
        </w:tc>
        <w:tc>
          <w:tcPr>
            <w:tcW w:w="2645" w:type="dxa"/>
            <w:gridSpan w:val="3"/>
          </w:tcPr>
          <w:p>
            <w:pPr>
              <w:spacing w:line="360" w:lineRule="auto"/>
              <w:jc w:val="center"/>
              <w:rPr>
                <w:rFonts w:ascii="Times New Roman" w:hAnsi="Times New Roman" w:eastAsia="宋体"/>
              </w:rPr>
            </w:pPr>
            <w:r>
              <w:rPr>
                <w:rFonts w:hint="eastAsia" w:ascii="Times New Roman" w:hAnsi="Times New Roman" w:eastAsia="宋体"/>
              </w:rPr>
              <w:t>大学本科</w:t>
            </w:r>
          </w:p>
        </w:tc>
        <w:tc>
          <w:tcPr>
            <w:tcW w:w="1382" w:type="dxa"/>
          </w:tcPr>
          <w:p>
            <w:pPr>
              <w:spacing w:line="360" w:lineRule="auto"/>
              <w:jc w:val="center"/>
              <w:rPr>
                <w:rFonts w:ascii="Times New Roman" w:hAnsi="Times New Roman" w:eastAsia="宋体"/>
              </w:rPr>
            </w:pPr>
            <w:r>
              <w:rPr>
                <w:rFonts w:hint="eastAsia" w:ascii="Times New Roman" w:hAnsi="Times New Roman" w:eastAsia="宋体"/>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360" w:lineRule="auto"/>
              <w:jc w:val="center"/>
              <w:rPr>
                <w:rFonts w:ascii="Times New Roman" w:hAnsi="Times New Roman" w:eastAsia="宋体"/>
              </w:rPr>
            </w:pPr>
          </w:p>
        </w:tc>
        <w:tc>
          <w:tcPr>
            <w:tcW w:w="1139" w:type="dxa"/>
          </w:tcPr>
          <w:p>
            <w:pPr>
              <w:spacing w:line="360" w:lineRule="auto"/>
              <w:jc w:val="center"/>
              <w:rPr>
                <w:rFonts w:ascii="Times New Roman" w:hAnsi="Times New Roman" w:eastAsia="宋体"/>
              </w:rPr>
            </w:pPr>
            <w:r>
              <w:rPr>
                <w:rFonts w:hint="eastAsia" w:ascii="Times New Roman" w:hAnsi="Times New Roman" w:eastAsia="宋体"/>
              </w:rPr>
              <w:t>3年</w:t>
            </w:r>
          </w:p>
        </w:tc>
        <w:tc>
          <w:tcPr>
            <w:tcW w:w="848" w:type="dxa"/>
          </w:tcPr>
          <w:p>
            <w:pPr>
              <w:spacing w:line="360" w:lineRule="auto"/>
              <w:jc w:val="center"/>
              <w:rPr>
                <w:rFonts w:ascii="Times New Roman" w:hAnsi="Times New Roman" w:eastAsia="宋体"/>
              </w:rPr>
            </w:pPr>
            <w:r>
              <w:rPr>
                <w:rFonts w:hint="eastAsia" w:ascii="Times New Roman" w:hAnsi="Times New Roman" w:eastAsia="宋体"/>
              </w:rPr>
              <w:t>G</w:t>
            </w:r>
            <w:r>
              <w:rPr>
                <w:rFonts w:ascii="Times New Roman" w:hAnsi="Times New Roman" w:eastAsia="宋体"/>
              </w:rPr>
              <w:t>1+G2</w:t>
            </w:r>
          </w:p>
        </w:tc>
        <w:tc>
          <w:tcPr>
            <w:tcW w:w="899" w:type="dxa"/>
          </w:tcPr>
          <w:p>
            <w:pPr>
              <w:spacing w:line="360" w:lineRule="auto"/>
              <w:jc w:val="center"/>
              <w:rPr>
                <w:rFonts w:ascii="Times New Roman" w:hAnsi="Times New Roman" w:eastAsia="宋体"/>
              </w:rPr>
            </w:pPr>
            <w:r>
              <w:rPr>
                <w:rFonts w:hint="eastAsia" w:ascii="Times New Roman" w:hAnsi="Times New Roman" w:eastAsia="宋体"/>
              </w:rPr>
              <w:t>A</w:t>
            </w:r>
            <w:r>
              <w:rPr>
                <w:rFonts w:ascii="Times New Roman" w:hAnsi="Times New Roman" w:eastAsia="宋体"/>
              </w:rPr>
              <w:t>S</w:t>
            </w:r>
          </w:p>
        </w:tc>
        <w:tc>
          <w:tcPr>
            <w:tcW w:w="890" w:type="dxa"/>
          </w:tcPr>
          <w:p>
            <w:pPr>
              <w:spacing w:line="360" w:lineRule="auto"/>
              <w:jc w:val="center"/>
              <w:rPr>
                <w:rFonts w:ascii="Times New Roman" w:hAnsi="Times New Roman" w:eastAsia="宋体"/>
              </w:rPr>
            </w:pPr>
            <w:r>
              <w:rPr>
                <w:rFonts w:hint="eastAsia" w:ascii="Times New Roman" w:hAnsi="Times New Roman" w:eastAsia="宋体"/>
              </w:rPr>
              <w:t>A</w:t>
            </w:r>
            <w:r>
              <w:rPr>
                <w:rFonts w:ascii="Times New Roman" w:hAnsi="Times New Roman" w:eastAsia="宋体"/>
              </w:rPr>
              <w:t>2</w:t>
            </w:r>
          </w:p>
        </w:tc>
        <w:tc>
          <w:tcPr>
            <w:tcW w:w="891" w:type="dxa"/>
            <w:gridSpan w:val="2"/>
            <w:shd w:val="clear" w:color="auto" w:fill="D9D9D9"/>
          </w:tcPr>
          <w:p>
            <w:pPr>
              <w:spacing w:line="360" w:lineRule="auto"/>
              <w:jc w:val="center"/>
              <w:rPr>
                <w:rFonts w:ascii="Times New Roman" w:hAnsi="Times New Roman" w:eastAsia="宋体"/>
              </w:rPr>
            </w:pPr>
          </w:p>
        </w:tc>
        <w:tc>
          <w:tcPr>
            <w:tcW w:w="943" w:type="dxa"/>
          </w:tcPr>
          <w:p>
            <w:pPr>
              <w:spacing w:line="360" w:lineRule="auto"/>
              <w:jc w:val="center"/>
              <w:rPr>
                <w:rFonts w:ascii="Times New Roman" w:hAnsi="Times New Roman" w:eastAsia="宋体"/>
              </w:rPr>
            </w:pPr>
            <w:r>
              <w:rPr>
                <w:rFonts w:hint="eastAsia" w:ascii="Times New Roman" w:hAnsi="Times New Roman" w:eastAsia="宋体"/>
              </w:rPr>
              <w:t>大一</w:t>
            </w:r>
          </w:p>
        </w:tc>
        <w:tc>
          <w:tcPr>
            <w:tcW w:w="943" w:type="dxa"/>
          </w:tcPr>
          <w:p>
            <w:pPr>
              <w:spacing w:line="360" w:lineRule="auto"/>
              <w:jc w:val="center"/>
              <w:rPr>
                <w:rFonts w:ascii="Times New Roman" w:hAnsi="Times New Roman" w:eastAsia="宋体"/>
              </w:rPr>
            </w:pPr>
            <w:r>
              <w:rPr>
                <w:rFonts w:hint="eastAsia" w:ascii="Times New Roman" w:hAnsi="Times New Roman" w:eastAsia="宋体"/>
              </w:rPr>
              <w:t>大二</w:t>
            </w:r>
          </w:p>
        </w:tc>
        <w:tc>
          <w:tcPr>
            <w:tcW w:w="759" w:type="dxa"/>
          </w:tcPr>
          <w:p>
            <w:pPr>
              <w:spacing w:line="360" w:lineRule="auto"/>
              <w:jc w:val="center"/>
              <w:rPr>
                <w:rFonts w:ascii="Times New Roman" w:hAnsi="Times New Roman" w:eastAsia="宋体"/>
              </w:rPr>
            </w:pPr>
            <w:r>
              <w:rPr>
                <w:rFonts w:hint="eastAsia" w:ascii="Times New Roman" w:hAnsi="Times New Roman" w:eastAsia="宋体"/>
              </w:rPr>
              <w:t>大三</w:t>
            </w:r>
          </w:p>
        </w:tc>
        <w:tc>
          <w:tcPr>
            <w:tcW w:w="1382" w:type="dxa"/>
          </w:tcPr>
          <w:p>
            <w:pPr>
              <w:spacing w:line="360" w:lineRule="auto"/>
              <w:jc w:val="center"/>
              <w:rPr>
                <w:rFonts w:ascii="Times New Roman" w:hAnsi="Times New Roman" w:eastAsia="宋体"/>
              </w:rPr>
            </w:pPr>
            <w:r>
              <w:rPr>
                <w:rFonts w:ascii="Times New Roman" w:hAnsi="Times New Roman" w:eastAsia="宋体"/>
              </w:rPr>
              <w:t>1-2年</w:t>
            </w:r>
          </w:p>
        </w:tc>
      </w:tr>
    </w:tbl>
    <w:p>
      <w:pPr>
        <w:spacing w:line="360" w:lineRule="auto"/>
        <w:jc w:val="left"/>
        <w:rPr>
          <w:rFonts w:ascii="Times New Roman" w:hAnsi="Times New Roman"/>
          <w:color w:val="000000"/>
        </w:rPr>
      </w:pPr>
    </w:p>
    <w:p>
      <w:pPr>
        <w:pStyle w:val="15"/>
        <w:spacing w:line="360" w:lineRule="auto"/>
        <w:ind w:firstLine="0" w:firstLineChars="0"/>
        <w:jc w:val="left"/>
        <w:rPr>
          <w:rFonts w:ascii="Times New Roman" w:hAnsi="Times New Roman"/>
          <w:b/>
          <w:color w:val="002060"/>
          <w:szCs w:val="21"/>
        </w:rPr>
      </w:pPr>
      <w:r>
        <w:rPr>
          <w:rFonts w:ascii="Times New Roman" w:hAnsi="Times New Roman"/>
          <w:b/>
          <w:color w:val="002060"/>
          <w:szCs w:val="21"/>
        </w:rPr>
        <w:t>学校课程结构---以学生全面发展、大学升学为需求</w:t>
      </w:r>
    </w:p>
    <w:p>
      <w:pPr>
        <w:pStyle w:val="15"/>
        <w:spacing w:line="360" w:lineRule="auto"/>
        <w:ind w:firstLine="0" w:firstLineChars="0"/>
        <w:jc w:val="left"/>
        <w:rPr>
          <w:rFonts w:ascii="Times New Roman" w:hAnsi="Times New Roman"/>
          <w:b/>
          <w:color w:val="002060"/>
          <w:szCs w:val="21"/>
        </w:rPr>
      </w:pPr>
      <w:r>
        <w:rPr>
          <w:rFonts w:ascii="Times New Roman" w:hAnsi="Times New Roman"/>
        </w:rPr>
        <w:t xml:space="preserve">     以教育部《普通高中课程方案和课程标准》为依据，根据协和培养目标的需要，厦门国贸协和双语高级中学课程由必修课程，选修课程和校本课程三部分组成，把知识技能的学习与学生创新精神和实践能力的培养有机结合起来，进一步完善原有的体系。</w:t>
      </w:r>
    </w:p>
    <w:p>
      <w:pPr>
        <w:pStyle w:val="15"/>
        <w:spacing w:line="360" w:lineRule="auto"/>
        <w:ind w:firstLineChars="0"/>
        <w:jc w:val="left"/>
        <w:rPr>
          <w:rFonts w:ascii="Times New Roman" w:hAnsi="Times New Roman"/>
          <w:b/>
          <w:szCs w:val="21"/>
        </w:rPr>
      </w:pPr>
      <w:r>
        <w:rPr>
          <w:rFonts w:ascii="Times New Roman" w:hAnsi="Times New Roman"/>
          <w:b/>
          <w:szCs w:val="21"/>
        </w:rPr>
        <w:t>必修课程：</w:t>
      </w:r>
    </w:p>
    <w:p>
      <w:pPr>
        <w:spacing w:line="360" w:lineRule="auto"/>
        <w:ind w:firstLine="420" w:firstLineChars="200"/>
        <w:jc w:val="left"/>
        <w:rPr>
          <w:rFonts w:ascii="Times New Roman" w:hAnsi="Times New Roman"/>
        </w:rPr>
      </w:pPr>
      <w:r>
        <w:rPr>
          <w:rFonts w:ascii="Times New Roman" w:hAnsi="Times New Roman"/>
        </w:rPr>
        <w:t>必修课程按照国家统一设置，含八个领域之下各个科目、研究性学习、社区服务和社会实践活动，是打好共同基础、促进全面学生发展的重要保障。其中：</w:t>
      </w:r>
    </w:p>
    <w:p>
      <w:pPr>
        <w:pStyle w:val="15"/>
        <w:spacing w:line="360" w:lineRule="auto"/>
        <w:ind w:firstLineChars="0"/>
        <w:jc w:val="left"/>
        <w:rPr>
          <w:rFonts w:ascii="Times New Roman" w:hAnsi="Times New Roman"/>
          <w:szCs w:val="21"/>
        </w:rPr>
      </w:pPr>
      <w:r>
        <w:rPr>
          <w:rFonts w:ascii="Times New Roman" w:hAnsi="Times New Roman"/>
          <w:szCs w:val="21"/>
        </w:rPr>
        <w:t>1. 国家人文课程，包括中国语文、政治、历史和地理，将严格按照国家课程标准实施。我校在课程实施中也将采用更多国际化课程的教学策略如跨学科主题学习、项目化学习以促进学生在人文学科的高阶思维、审辨性思维等综合能力的发展。协和教育集团一直将中国传统文化教育，中西融合教育作为教学的重点。我们深刻认识到要培养学生成为追求卓越、具有国际视野的中国人，对学生进行传统文化教育和国情教育是应有之义，这是立足中国教育的客观要求。因此，厦门市国贸协和双语高级中学将通过四门核心课程和国家教材的学习真正令学生立足中国文化，在高中阶段传承中国人文核心价值观，围绕“中国”形成综合性的人文学术能力。</w:t>
      </w:r>
    </w:p>
    <w:p>
      <w:pPr>
        <w:pStyle w:val="15"/>
        <w:spacing w:line="360" w:lineRule="auto"/>
        <w:ind w:firstLineChars="0"/>
        <w:jc w:val="left"/>
        <w:rPr>
          <w:rFonts w:ascii="Times New Roman" w:hAnsi="Times New Roman"/>
          <w:szCs w:val="21"/>
        </w:rPr>
      </w:pPr>
      <w:r>
        <w:rPr>
          <w:rFonts w:ascii="Times New Roman" w:hAnsi="Times New Roman"/>
          <w:szCs w:val="21"/>
        </w:rPr>
        <w:t>2. 数学与科学课程，包括数学、物理、化学、生物，将采用双语教师与外籍教师的合作教学模式来实施。双语教师一方面会将国家课程与</w:t>
      </w:r>
      <w:r>
        <w:rPr>
          <w:rFonts w:hint="eastAsia" w:ascii="Times New Roman" w:hAnsi="Times New Roman"/>
          <w:szCs w:val="21"/>
        </w:rPr>
        <w:t>大学预科</w:t>
      </w:r>
      <w:r>
        <w:rPr>
          <w:rFonts w:ascii="Times New Roman" w:hAnsi="Times New Roman"/>
          <w:szCs w:val="21"/>
        </w:rPr>
        <w:t>课程内容进行课程标准、教学内容、评估内容上的比对与融合以完成这四本课程在国家课标要求下的内容覆盖，另一方面将与外籍教师共同合作，针对</w:t>
      </w:r>
      <w:r>
        <w:rPr>
          <w:rFonts w:hint="eastAsia" w:ascii="Times New Roman" w:hAnsi="Times New Roman"/>
          <w:szCs w:val="21"/>
        </w:rPr>
        <w:t>大学预科</w:t>
      </w:r>
      <w:r>
        <w:rPr>
          <w:rFonts w:ascii="Times New Roman" w:hAnsi="Times New Roman"/>
          <w:szCs w:val="21"/>
        </w:rPr>
        <w:t>课程的国际课标要求对学生进行培优补差的双语理科支持，以争取</w:t>
      </w:r>
      <w:r>
        <w:rPr>
          <w:rFonts w:hint="eastAsia" w:ascii="Times New Roman" w:hAnsi="Times New Roman"/>
          <w:szCs w:val="21"/>
        </w:rPr>
        <w:t>在有限</w:t>
      </w:r>
      <w:r>
        <w:rPr>
          <w:rFonts w:ascii="Times New Roman" w:hAnsi="Times New Roman"/>
          <w:szCs w:val="21"/>
        </w:rPr>
        <w:t>的教学时空</w:t>
      </w:r>
      <w:r>
        <w:rPr>
          <w:rFonts w:hint="eastAsia" w:ascii="Times New Roman" w:hAnsi="Times New Roman"/>
          <w:szCs w:val="21"/>
        </w:rPr>
        <w:t>下能</w:t>
      </w:r>
      <w:r>
        <w:rPr>
          <w:rFonts w:ascii="Times New Roman" w:hAnsi="Times New Roman"/>
          <w:szCs w:val="21"/>
        </w:rPr>
        <w:t>完成</w:t>
      </w:r>
      <w:r>
        <w:rPr>
          <w:rFonts w:hint="eastAsia" w:ascii="Times New Roman" w:hAnsi="Times New Roman"/>
          <w:szCs w:val="21"/>
        </w:rPr>
        <w:t>国家基础</w:t>
      </w:r>
      <w:r>
        <w:rPr>
          <w:rFonts w:ascii="Times New Roman" w:hAnsi="Times New Roman"/>
          <w:szCs w:val="21"/>
        </w:rPr>
        <w:t>学科要求，也能够为学生创造浸润式的英文学习环境，促进学生学科英语和</w:t>
      </w:r>
      <w:r>
        <w:rPr>
          <w:rFonts w:hint="eastAsia" w:ascii="Times New Roman" w:hAnsi="Times New Roman"/>
          <w:szCs w:val="21"/>
        </w:rPr>
        <w:t>大学预科课程</w:t>
      </w:r>
      <w:r>
        <w:rPr>
          <w:rFonts w:ascii="Times New Roman" w:hAnsi="Times New Roman"/>
          <w:szCs w:val="21"/>
        </w:rPr>
        <w:t>学术成绩的快速提升。</w:t>
      </w:r>
    </w:p>
    <w:p>
      <w:pPr>
        <w:pStyle w:val="15"/>
        <w:spacing w:line="360" w:lineRule="auto"/>
        <w:ind w:firstLineChars="0"/>
        <w:jc w:val="left"/>
        <w:rPr>
          <w:rFonts w:ascii="Times New Roman" w:hAnsi="Times New Roman"/>
          <w:szCs w:val="21"/>
        </w:rPr>
      </w:pPr>
      <w:r>
        <w:rPr>
          <w:rFonts w:ascii="Times New Roman" w:hAnsi="Times New Roman"/>
          <w:szCs w:val="21"/>
        </w:rPr>
        <w:t>3. 英语将按照学生中考英语成绩、学校综合测评实施走班制的分层教学。</w:t>
      </w:r>
    </w:p>
    <w:p>
      <w:pPr>
        <w:pStyle w:val="15"/>
        <w:spacing w:line="360" w:lineRule="auto"/>
        <w:ind w:firstLineChars="0"/>
        <w:jc w:val="left"/>
        <w:rPr>
          <w:rFonts w:ascii="Times New Roman" w:hAnsi="Times New Roman"/>
          <w:szCs w:val="21"/>
        </w:rPr>
      </w:pPr>
      <w:r>
        <w:rPr>
          <w:rFonts w:ascii="Times New Roman" w:hAnsi="Times New Roman"/>
          <w:szCs w:val="21"/>
        </w:rPr>
        <w:t>4. 其他学科如体育、音乐、艺术、通用技术、将按照国家课程要求实施高质量教学。</w:t>
      </w:r>
    </w:p>
    <w:p>
      <w:pPr>
        <w:pStyle w:val="15"/>
        <w:spacing w:line="360" w:lineRule="auto"/>
        <w:ind w:firstLineChars="0"/>
        <w:jc w:val="left"/>
        <w:rPr>
          <w:rFonts w:ascii="Times New Roman" w:hAnsi="Times New Roman"/>
          <w:b/>
          <w:szCs w:val="21"/>
        </w:rPr>
      </w:pPr>
      <w:r>
        <w:rPr>
          <w:rFonts w:ascii="Times New Roman" w:hAnsi="Times New Roman"/>
          <w:b/>
          <w:szCs w:val="21"/>
        </w:rPr>
        <w:t>选修课程</w:t>
      </w:r>
      <w:r>
        <w:rPr>
          <w:rFonts w:hint="eastAsia" w:ascii="Times New Roman" w:hAnsi="Times New Roman"/>
          <w:b/>
          <w:szCs w:val="21"/>
        </w:rPr>
        <w:t>1</w:t>
      </w:r>
      <w:r>
        <w:rPr>
          <w:rFonts w:ascii="Times New Roman" w:hAnsi="Times New Roman"/>
          <w:b/>
          <w:szCs w:val="21"/>
        </w:rPr>
        <w:t>：</w:t>
      </w:r>
      <w:r>
        <w:rPr>
          <w:rFonts w:hint="eastAsia" w:ascii="Times New Roman" w:hAnsi="Times New Roman"/>
          <w:b/>
          <w:szCs w:val="21"/>
        </w:rPr>
        <w:t>大学预科课程</w:t>
      </w:r>
    </w:p>
    <w:p>
      <w:pPr>
        <w:pStyle w:val="15"/>
        <w:spacing w:line="360" w:lineRule="auto"/>
        <w:ind w:firstLineChars="0"/>
        <w:jc w:val="left"/>
        <w:rPr>
          <w:rFonts w:ascii="Times New Roman" w:hAnsi="Times New Roman"/>
          <w:szCs w:val="21"/>
        </w:rPr>
      </w:pPr>
      <w:r>
        <w:rPr>
          <w:rFonts w:ascii="Times New Roman" w:hAnsi="Times New Roman"/>
          <w:szCs w:val="21"/>
        </w:rPr>
        <w:t>我校选修学科将开设大学预科课程，具体开设科目请参看课程表。大学预科课程是英国的普通中等教育证书考试高级水平课程，也是英国学生的大学入学考试课程，就像我国的高考一样，大学预科课程证书被几乎所有英语授课的大学作为招收新生的入学标准。 在中国开设大学预科课程旨在为中国学生提供进入国外大学的有效途径。国贸协和双语高级中学将提供学生丰富的科目选择性，学生科根据自己的爱好、特长和未来的志向，选择适合自身情况的不同模块化课程，拓展学习的深度和广度，以满足学生学科个性化发展</w:t>
      </w:r>
      <w:r>
        <w:rPr>
          <w:rFonts w:hint="eastAsia" w:ascii="Times New Roman" w:hAnsi="Times New Roman"/>
          <w:szCs w:val="21"/>
        </w:rPr>
        <w:t>和未来升学需要。</w:t>
      </w:r>
    </w:p>
    <w:p>
      <w:pPr>
        <w:pStyle w:val="15"/>
        <w:spacing w:line="360" w:lineRule="auto"/>
        <w:ind w:firstLineChars="0"/>
        <w:jc w:val="left"/>
        <w:rPr>
          <w:rFonts w:ascii="Times New Roman" w:hAnsi="Times New Roman"/>
          <w:b/>
          <w:szCs w:val="21"/>
        </w:rPr>
      </w:pPr>
      <w:r>
        <w:rPr>
          <w:rFonts w:hint="eastAsia" w:ascii="Times New Roman" w:hAnsi="Times New Roman"/>
          <w:b/>
          <w:szCs w:val="21"/>
        </w:rPr>
        <w:t>选修课程2：国贸</w:t>
      </w:r>
      <w:r>
        <w:rPr>
          <w:rFonts w:ascii="Times New Roman" w:hAnsi="Times New Roman"/>
          <w:b/>
          <w:szCs w:val="21"/>
        </w:rPr>
        <w:t>协和校本课程</w:t>
      </w:r>
    </w:p>
    <w:p>
      <w:pPr>
        <w:pStyle w:val="15"/>
        <w:spacing w:line="360" w:lineRule="auto"/>
        <w:ind w:firstLineChars="0"/>
        <w:jc w:val="left"/>
        <w:rPr>
          <w:rFonts w:ascii="Times New Roman" w:hAnsi="Times New Roman"/>
          <w:szCs w:val="21"/>
        </w:rPr>
      </w:pPr>
      <w:r>
        <w:rPr>
          <w:rFonts w:ascii="Times New Roman" w:hAnsi="Times New Roman"/>
          <w:color w:val="000000"/>
        </w:rPr>
        <w:t xml:space="preserve">  </w:t>
      </w:r>
      <w:r>
        <w:rPr>
          <w:rFonts w:ascii="Times New Roman" w:hAnsi="Times New Roman"/>
          <w:szCs w:val="21"/>
        </w:rPr>
        <w:t>研究性学习、社区实践与社会服务课程将部分与学科教学内容、校本德育课程主题相结合，充分彰显国贸协和双语高级中学特色，保障这几类课程的实施能够与学科学习、校园文化建设、社区学习与建设有效融合在一起。 另外，我校也将开设升学课程，以生涯教育为主线，以大学申请为目的，注重塑造学生积极人生态度和正确的职业发展观，积极帮助学生探索未来的职业规划和国外大学申请要求与路径，以更早地准备、应对大学申请。</w:t>
      </w:r>
    </w:p>
    <w:p>
      <w:pPr>
        <w:spacing w:line="360" w:lineRule="auto"/>
        <w:jc w:val="left"/>
        <w:rPr>
          <w:rFonts w:ascii="Times New Roman" w:hAnsi="Times New Roman"/>
          <w:b/>
          <w:szCs w:val="21"/>
        </w:rPr>
      </w:pPr>
      <w:r>
        <w:rPr>
          <w:rFonts w:ascii="Times New Roman" w:hAnsi="Times New Roman"/>
          <w:b/>
          <w:szCs w:val="21"/>
        </w:rPr>
        <w:t>整体框架：</w:t>
      </w:r>
    </w:p>
    <w:p>
      <w:pPr>
        <w:pStyle w:val="15"/>
        <w:spacing w:line="360" w:lineRule="auto"/>
        <w:ind w:firstLineChars="0"/>
        <w:jc w:val="left"/>
        <w:rPr>
          <w:rFonts w:ascii="Times New Roman" w:hAnsi="Times New Roman"/>
          <w:szCs w:val="21"/>
        </w:rPr>
      </w:pPr>
    </w:p>
    <w:p>
      <w:pPr>
        <w:pStyle w:val="15"/>
        <w:spacing w:line="360" w:lineRule="auto"/>
        <w:ind w:firstLineChars="0"/>
        <w:jc w:val="left"/>
        <w:rPr>
          <w:rFonts w:ascii="Times New Roman" w:hAnsi="Times New Roman"/>
          <w:szCs w:val="21"/>
        </w:rPr>
      </w:pPr>
      <w:r>
        <w:rPr>
          <w:rFonts w:ascii="Times New Roman" w:hAnsi="Times New Roman"/>
          <w:szCs w:val="21"/>
        </w:rPr>
        <w:drawing>
          <wp:inline distT="0" distB="0" distL="0" distR="0">
            <wp:extent cx="5233035" cy="1729105"/>
            <wp:effectExtent l="38100" t="0" r="24765" b="23495"/>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spacing w:line="360" w:lineRule="auto"/>
        <w:jc w:val="left"/>
        <w:rPr>
          <w:rFonts w:ascii="Times New Roman" w:hAnsi="Times New Roman"/>
          <w:b/>
          <w:szCs w:val="21"/>
        </w:rPr>
      </w:pPr>
    </w:p>
    <w:p>
      <w:pPr>
        <w:spacing w:line="360" w:lineRule="auto"/>
        <w:jc w:val="left"/>
        <w:rPr>
          <w:rFonts w:ascii="Times New Roman" w:hAnsi="Times New Roman"/>
          <w:b/>
          <w:szCs w:val="21"/>
        </w:rPr>
      </w:pPr>
      <w:r>
        <w:rPr>
          <w:rFonts w:ascii="Times New Roman" w:hAnsi="Times New Roman"/>
          <w:b/>
          <w:szCs w:val="21"/>
        </w:rPr>
        <w:t xml:space="preserve">   必修课程</w:t>
      </w:r>
      <w:r>
        <w:rPr>
          <w:rFonts w:hint="eastAsia" w:ascii="Times New Roman" w:hAnsi="Times New Roman"/>
          <w:b/>
          <w:szCs w:val="21"/>
        </w:rPr>
        <w:t xml:space="preserve">1. </w:t>
      </w:r>
    </w:p>
    <w:p>
      <w:pPr>
        <w:spacing w:line="360" w:lineRule="auto"/>
        <w:jc w:val="left"/>
        <w:rPr>
          <w:rFonts w:ascii="Times New Roman" w:hAnsi="Times New Roman"/>
          <w:color w:val="FF0000"/>
          <w:szCs w:val="21"/>
        </w:rPr>
      </w:pPr>
      <w:r>
        <w:rPr>
          <w:rFonts w:ascii="Times New Roman" w:hAnsi="Times New Roman"/>
          <w:color w:val="FF0000"/>
          <w:szCs w:val="21"/>
        </w:rPr>
        <w:drawing>
          <wp:inline distT="0" distB="0" distL="0" distR="0">
            <wp:extent cx="5732780" cy="728345"/>
            <wp:effectExtent l="38100" t="38100" r="1270" b="52705"/>
            <wp:docPr id="12"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spacing w:line="360" w:lineRule="auto"/>
        <w:jc w:val="left"/>
        <w:rPr>
          <w:rFonts w:ascii="Times New Roman" w:hAnsi="Times New Roman"/>
          <w:color w:val="FF0000"/>
          <w:szCs w:val="21"/>
        </w:rPr>
      </w:pPr>
      <w:r>
        <w:rPr>
          <w:rFonts w:ascii="Times New Roman" w:hAnsi="Times New Roman"/>
          <w:b/>
          <w:szCs w:val="21"/>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571500" cy="396240"/>
                <wp:effectExtent l="0" t="0" r="12700" b="60960"/>
                <wp:wrapThrough wrapText="bothSides">
                  <wp:wrapPolygon>
                    <wp:start x="6720" y="1385"/>
                    <wp:lineTo x="1920" y="11077"/>
                    <wp:lineTo x="1920" y="18000"/>
                    <wp:lineTo x="6720" y="23538"/>
                    <wp:lineTo x="15360" y="23538"/>
                    <wp:lineTo x="21120" y="19385"/>
                    <wp:lineTo x="21120" y="9692"/>
                    <wp:lineTo x="15360" y="1385"/>
                    <wp:lineTo x="6720" y="1385"/>
                  </wp:wrapPolygon>
                </wp:wrapThrough>
                <wp:docPr id="3" name="正偏差 3"/>
                <wp:cNvGraphicFramePr/>
                <a:graphic xmlns:a="http://schemas.openxmlformats.org/drawingml/2006/main">
                  <a:graphicData uri="http://schemas.microsoft.com/office/word/2010/wordprocessingShape">
                    <wps:wsp>
                      <wps:cNvSpPr/>
                      <wps:spPr>
                        <a:xfrm>
                          <a:off x="0" y="0"/>
                          <a:ext cx="571500" cy="396240"/>
                        </a:xfrm>
                        <a:prstGeom prst="mathPlu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正偏差 3" o:spid="_x0000_s1026" style="position:absolute;left:0pt;margin-left:198pt;margin-top:0pt;height:31.2pt;width:45pt;mso-wrap-distance-left:9pt;mso-wrap-distance-right:9pt;z-index:251659264;v-text-anchor:middle;mso-width-relative:page;mso-height-relative:page;" fillcolor="#3F7FCE [3216]" filled="t" stroked="t" coordsize="571500,396240" wrapcoords="6720 1385 1920 11077 1920 18000 6720 23538 15360 23538 21120 19385 21120 9692 15360 1385 6720 1385" o:gfxdata="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A61YR/VAAAABwEAAA8AAAAAAAAA&#10;AQAgAAAAIgAAAGRycy9kb3ducmV2LnhtbFBLAQIUABQAAAAIAIdO4kCkM1nOMQMAAPIGAAAOAAAA&#10;AAAAAAEAIAAAACQBAABkcnMvZTJvRG9jLnhtbFBLBQYAAAAABgAGAFkBAADHBgAAAAA=&#10;" path="m75752,151522l239152,151522,239152,52521,332347,52521,332347,151522,495747,151522,495747,244717,332347,244717,332347,343718,239152,343718,239152,244717,75752,244717xe">
                <v:path o:connectlocs="495747,198120;285750,343718;75752,198120;285750,52521" o:connectangles="0,82,164,247"/>
                <v:fill type="gradient" on="t" color2="#9BC1FF [3216]" angle="180" focus="100%" focussize="0,0" rotate="t">
                  <o:fill type="gradientUnscaled" v:ext="backwardCompatible"/>
                </v:fill>
                <v:stroke color="#4A7EBB [3204]" joinstyle="round"/>
                <v:imagedata o:title=""/>
                <o:lock v:ext="edit" aspectratio="f"/>
                <v:shadow on="t" color="#000000" opacity="22937f" offset="0pt,1.81102362204724pt" origin="0f,32768f" matrix="65536f,0f,0f,65536f"/>
                <w10:wrap type="through"/>
              </v:shape>
            </w:pict>
          </mc:Fallback>
        </mc:AlternateContent>
      </w:r>
    </w:p>
    <w:p>
      <w:pPr>
        <w:spacing w:line="360" w:lineRule="auto"/>
        <w:jc w:val="left"/>
        <w:rPr>
          <w:rFonts w:ascii="Times New Roman" w:hAnsi="Times New Roman"/>
          <w:color w:val="FF0000"/>
          <w:szCs w:val="21"/>
        </w:rPr>
      </w:pPr>
    </w:p>
    <w:p>
      <w:pPr>
        <w:spacing w:line="360" w:lineRule="auto"/>
        <w:jc w:val="left"/>
        <w:rPr>
          <w:rFonts w:ascii="Times New Roman" w:hAnsi="Times New Roman"/>
          <w:color w:val="FF0000"/>
          <w:szCs w:val="21"/>
        </w:rPr>
      </w:pPr>
      <w:r>
        <w:rPr>
          <w:rFonts w:ascii="Times New Roman" w:hAnsi="Times New Roman"/>
          <w:color w:val="FF0000"/>
          <w:szCs w:val="21"/>
        </w:rPr>
        <w:drawing>
          <wp:inline distT="0" distB="0" distL="0" distR="0">
            <wp:extent cx="5732780" cy="728345"/>
            <wp:effectExtent l="76200" t="38100" r="1270" b="52705"/>
            <wp:docPr id="5"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pPr>
        <w:spacing w:line="360" w:lineRule="auto"/>
        <w:jc w:val="left"/>
        <w:rPr>
          <w:rFonts w:ascii="Times New Roman" w:hAnsi="Times New Roman"/>
          <w:szCs w:val="21"/>
        </w:rPr>
      </w:pPr>
    </w:p>
    <w:p>
      <w:pPr>
        <w:spacing w:line="360" w:lineRule="auto"/>
        <w:jc w:val="left"/>
        <w:rPr>
          <w:rFonts w:ascii="Times New Roman" w:hAnsi="Times New Roman"/>
          <w:b/>
          <w:szCs w:val="21"/>
        </w:rPr>
      </w:pPr>
      <w:r>
        <w:rPr>
          <w:rFonts w:ascii="Times New Roman" w:hAnsi="Times New Roman"/>
          <w:b/>
          <w:szCs w:val="21"/>
        </w:rPr>
        <w:t xml:space="preserve">  </w:t>
      </w:r>
      <w:r>
        <w:rPr>
          <w:rFonts w:hint="eastAsia" w:ascii="Times New Roman" w:hAnsi="Times New Roman"/>
          <w:b/>
          <w:szCs w:val="21"/>
        </w:rPr>
        <w:t>必修</w:t>
      </w:r>
      <w:r>
        <w:rPr>
          <w:rFonts w:ascii="Times New Roman" w:hAnsi="Times New Roman"/>
          <w:b/>
          <w:szCs w:val="21"/>
        </w:rPr>
        <w:t>课程</w:t>
      </w:r>
      <w:r>
        <w:rPr>
          <w:rFonts w:hint="eastAsia" w:ascii="Times New Roman" w:hAnsi="Times New Roman"/>
          <w:b/>
          <w:szCs w:val="21"/>
        </w:rPr>
        <w:t xml:space="preserve">2. </w:t>
      </w:r>
    </w:p>
    <w:p>
      <w:pPr>
        <w:spacing w:line="360" w:lineRule="auto"/>
        <w:jc w:val="left"/>
        <w:rPr>
          <w:rFonts w:ascii="Times New Roman" w:hAnsi="Times New Roman"/>
          <w:szCs w:val="21"/>
        </w:rPr>
      </w:pPr>
    </w:p>
    <w:p>
      <w:pPr>
        <w:spacing w:line="360" w:lineRule="auto"/>
        <w:jc w:val="left"/>
        <w:rPr>
          <w:rFonts w:ascii="Times New Roman" w:hAnsi="Times New Roman"/>
          <w:szCs w:val="21"/>
        </w:rPr>
      </w:pPr>
      <w:r>
        <w:rPr>
          <w:rFonts w:ascii="Times New Roman" w:hAnsi="Times New Roman"/>
          <w:szCs w:val="21"/>
        </w:rPr>
        <w:drawing>
          <wp:inline distT="0" distB="0" distL="0" distR="0">
            <wp:extent cx="5925185" cy="1303655"/>
            <wp:effectExtent l="0" t="0" r="18415" b="0"/>
            <wp:docPr id="7"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pPr>
        <w:spacing w:line="360" w:lineRule="auto"/>
        <w:jc w:val="left"/>
        <w:rPr>
          <w:rFonts w:ascii="Times New Roman" w:hAnsi="Times New Roman"/>
          <w:b/>
          <w:szCs w:val="21"/>
        </w:rPr>
      </w:pPr>
    </w:p>
    <w:p>
      <w:pPr>
        <w:spacing w:line="360" w:lineRule="auto"/>
        <w:jc w:val="left"/>
        <w:rPr>
          <w:rFonts w:ascii="Times New Roman" w:hAnsi="Times New Roman"/>
          <w:b/>
          <w:szCs w:val="21"/>
        </w:rPr>
      </w:pPr>
      <w:r>
        <w:rPr>
          <w:rFonts w:hint="eastAsia" w:ascii="Times New Roman" w:hAnsi="Times New Roman"/>
          <w:b/>
          <w:szCs w:val="21"/>
        </w:rPr>
        <w:t>选修2-国贸协和</w:t>
      </w:r>
      <w:r>
        <w:rPr>
          <w:rFonts w:ascii="Times New Roman" w:hAnsi="Times New Roman"/>
          <w:b/>
          <w:szCs w:val="21"/>
        </w:rPr>
        <w:t>校本课程</w:t>
      </w:r>
    </w:p>
    <w:p>
      <w:pPr>
        <w:spacing w:line="360" w:lineRule="auto"/>
        <w:jc w:val="left"/>
        <w:rPr>
          <w:rFonts w:ascii="Times New Roman" w:hAnsi="Times New Roman"/>
          <w:szCs w:val="21"/>
        </w:rPr>
      </w:pPr>
      <w:r>
        <w:rPr>
          <w:rFonts w:ascii="Times New Roman" w:hAnsi="Times New Roman"/>
          <w:szCs w:val="21"/>
        </w:rPr>
        <w:drawing>
          <wp:inline distT="0" distB="0" distL="0" distR="0">
            <wp:extent cx="5934075" cy="1092200"/>
            <wp:effectExtent l="0" t="0" r="9525" b="12700"/>
            <wp:docPr id="8"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pPr>
        <w:spacing w:line="360" w:lineRule="auto"/>
        <w:jc w:val="left"/>
        <w:rPr>
          <w:rFonts w:ascii="Times New Roman" w:hAnsi="Times New Roman"/>
          <w:szCs w:val="21"/>
        </w:rPr>
      </w:pPr>
    </w:p>
    <w:p>
      <w:pPr>
        <w:spacing w:line="360" w:lineRule="auto"/>
        <w:jc w:val="left"/>
        <w:rPr>
          <w:rFonts w:ascii="Times New Roman" w:hAnsi="Times New Roman"/>
          <w:b/>
          <w:szCs w:val="21"/>
        </w:rPr>
      </w:pPr>
      <w:r>
        <w:rPr>
          <w:rFonts w:hint="eastAsia" w:ascii="Times New Roman" w:hAnsi="Times New Roman"/>
          <w:b/>
          <w:szCs w:val="21"/>
        </w:rPr>
        <w:t>普高方向学分实施方案：</w:t>
      </w:r>
    </w:p>
    <w:p>
      <w:pPr>
        <w:spacing w:line="360" w:lineRule="auto"/>
        <w:jc w:val="left"/>
        <w:rPr>
          <w:rFonts w:ascii="Times New Roman" w:hAnsi="Times New Roman"/>
          <w:szCs w:val="21"/>
        </w:rPr>
      </w:pPr>
      <w:r>
        <w:drawing>
          <wp:inline distT="0" distB="0" distL="0" distR="0">
            <wp:extent cx="6379210" cy="39782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6420438" cy="4003931"/>
                    </a:xfrm>
                    <a:prstGeom prst="rect">
                      <a:avLst/>
                    </a:prstGeom>
                    <a:noFill/>
                    <a:ln>
                      <a:noFill/>
                    </a:ln>
                  </pic:spPr>
                </pic:pic>
              </a:graphicData>
            </a:graphic>
          </wp:inline>
        </w:drawing>
      </w:r>
    </w:p>
    <w:p>
      <w:pPr>
        <w:spacing w:line="360" w:lineRule="auto"/>
        <w:jc w:val="left"/>
        <w:rPr>
          <w:rFonts w:ascii="Times New Roman" w:hAnsi="Times New Roman"/>
          <w:szCs w:val="21"/>
        </w:rPr>
      </w:pPr>
    </w:p>
    <w:p>
      <w:pPr>
        <w:spacing w:line="360" w:lineRule="auto"/>
        <w:jc w:val="left"/>
        <w:rPr>
          <w:rFonts w:ascii="Times New Roman" w:hAnsi="Times New Roman"/>
          <w:b/>
          <w:color w:val="002060"/>
          <w:szCs w:val="21"/>
        </w:rPr>
      </w:pPr>
      <w:r>
        <w:rPr>
          <w:rFonts w:ascii="Times New Roman" w:hAnsi="Times New Roman"/>
          <w:b/>
          <w:color w:val="002060"/>
          <w:szCs w:val="21"/>
        </w:rPr>
        <w:t>三、课程实施与评价：</w:t>
      </w:r>
    </w:p>
    <w:p>
      <w:pPr>
        <w:pStyle w:val="15"/>
        <w:numPr>
          <w:ilvl w:val="0"/>
          <w:numId w:val="3"/>
        </w:numPr>
        <w:spacing w:line="360" w:lineRule="auto"/>
        <w:ind w:firstLineChars="0"/>
        <w:jc w:val="left"/>
        <w:rPr>
          <w:rFonts w:ascii="Times New Roman" w:hAnsi="Times New Roman"/>
          <w:b/>
          <w:color w:val="002060"/>
          <w:szCs w:val="21"/>
        </w:rPr>
      </w:pPr>
      <w:r>
        <w:rPr>
          <w:rFonts w:ascii="Times New Roman" w:hAnsi="Times New Roman"/>
          <w:b/>
          <w:color w:val="002060"/>
          <w:szCs w:val="21"/>
        </w:rPr>
        <w:t>各类课程的</w:t>
      </w:r>
      <w:r>
        <w:rPr>
          <w:rFonts w:hint="eastAsia" w:ascii="Times New Roman" w:hAnsi="Times New Roman"/>
          <w:b/>
          <w:color w:val="002060"/>
          <w:szCs w:val="21"/>
        </w:rPr>
        <w:t>实施考量</w:t>
      </w:r>
    </w:p>
    <w:p>
      <w:pPr>
        <w:pStyle w:val="15"/>
        <w:spacing w:line="360" w:lineRule="auto"/>
        <w:jc w:val="left"/>
        <w:rPr>
          <w:rFonts w:ascii="Times New Roman" w:hAnsi="Times New Roman"/>
          <w:color w:val="000000"/>
          <w:szCs w:val="21"/>
        </w:rPr>
      </w:pPr>
      <w:r>
        <w:rPr>
          <w:rFonts w:ascii="Times New Roman" w:hAnsi="Times New Roman"/>
          <w:color w:val="000000"/>
          <w:szCs w:val="21"/>
        </w:rPr>
        <w:t>在学校课程实施过程中，我们要注意以下四点的累积和反思：</w:t>
      </w:r>
    </w:p>
    <w:p>
      <w:pPr>
        <w:pStyle w:val="15"/>
        <w:numPr>
          <w:ilvl w:val="0"/>
          <w:numId w:val="4"/>
        </w:numPr>
        <w:spacing w:line="360" w:lineRule="auto"/>
        <w:ind w:firstLineChars="0"/>
        <w:rPr>
          <w:rFonts w:ascii="Times New Roman" w:hAnsi="Times New Roman"/>
        </w:rPr>
      </w:pPr>
      <w:r>
        <w:rPr>
          <w:rFonts w:ascii="Times New Roman" w:hAnsi="Times New Roman"/>
        </w:rPr>
        <w:t>确立学生在学习中的主体地位，关注学生的已有经验和兴趣爱好、个性特长等发展特点。树立课程要为学生提供多种学习经历的观念，通过课程体系的构建与实施，为学生提供品德形成与人格发展、潜能开发与认知发展、身体与心理发展、艺术审美、综合实践等方面的学习经历。关注学生学习的过程，通过创设学习情境、开发实践环节和拓宽学习渠道，帮助学生在学习过程中体验、感悟、建构并丰富学习经验，实现知识传承、能力发展、积极情感形成的统一。</w:t>
      </w:r>
    </w:p>
    <w:p>
      <w:pPr>
        <w:pStyle w:val="15"/>
        <w:numPr>
          <w:ilvl w:val="0"/>
          <w:numId w:val="4"/>
        </w:numPr>
        <w:spacing w:line="360" w:lineRule="auto"/>
        <w:ind w:firstLineChars="0"/>
        <w:rPr>
          <w:rFonts w:ascii="Times New Roman" w:hAnsi="Times New Roman"/>
        </w:rPr>
      </w:pPr>
      <w:r>
        <w:rPr>
          <w:rFonts w:ascii="Times New Roman" w:hAnsi="Times New Roman"/>
        </w:rPr>
        <w:t>重视课程内容的基础性和可发展性，从知识与技能、过程与方法、情感态度与价值观三个方面拓宽基础内涵，改变课程内容繁、难、偏、旧和脱离学生实际的现状，精选学生终身学习必备的基础内容。重视各学习领域的合理配置，加强各学习领域及各科目间的联系，</w:t>
      </w:r>
      <w:r>
        <w:rPr>
          <w:rFonts w:ascii="Times New Roman" w:hAnsi="Times New Roman"/>
          <w:b/>
        </w:rPr>
        <w:t>尤其是国家</w:t>
      </w:r>
      <w:r>
        <w:rPr>
          <w:rFonts w:hint="eastAsia" w:ascii="Times New Roman" w:hAnsi="Times New Roman"/>
          <w:b/>
        </w:rPr>
        <w:t>高中</w:t>
      </w:r>
      <w:r>
        <w:rPr>
          <w:rFonts w:ascii="Times New Roman" w:hAnsi="Times New Roman"/>
          <w:b/>
        </w:rPr>
        <w:t>理科课程与 理科课程的</w:t>
      </w:r>
      <w:r>
        <w:rPr>
          <w:rFonts w:hint="eastAsia" w:ascii="Times New Roman" w:hAnsi="Times New Roman"/>
          <w:b/>
        </w:rPr>
        <w:t>深度</w:t>
      </w:r>
      <w:r>
        <w:rPr>
          <w:rFonts w:ascii="Times New Roman" w:hAnsi="Times New Roman"/>
          <w:b/>
        </w:rPr>
        <w:t>融合</w:t>
      </w:r>
      <w:r>
        <w:rPr>
          <w:rFonts w:hint="eastAsia" w:ascii="Times New Roman" w:hAnsi="Times New Roman"/>
          <w:b/>
        </w:rPr>
        <w:t>，这也是学校践行“中西融合”教育理念下的课程建设方向</w:t>
      </w:r>
      <w:r>
        <w:rPr>
          <w:rFonts w:ascii="Times New Roman" w:hAnsi="Times New Roman"/>
        </w:rPr>
        <w:t>。注重科目内学科、活动、专题间的有机联系以及模块或主题间的有机联系，促进学生形成合理的认知结构。加强课程与信息技术的有机整合，将信息技术作为资料的来源、交流的平台、认知的工具和管理的手段，应用于课程的设计、实施、评价和管理的全过程，全面提高课程的信息化水平和学生的信息素养。</w:t>
      </w:r>
    </w:p>
    <w:p>
      <w:pPr>
        <w:pStyle w:val="15"/>
        <w:numPr>
          <w:ilvl w:val="0"/>
          <w:numId w:val="4"/>
        </w:numPr>
        <w:spacing w:line="360" w:lineRule="auto"/>
        <w:ind w:firstLineChars="0"/>
        <w:rPr>
          <w:rFonts w:ascii="Times New Roman" w:hAnsi="Times New Roman"/>
        </w:rPr>
      </w:pPr>
      <w:r>
        <w:rPr>
          <w:rFonts w:ascii="Times New Roman" w:hAnsi="Times New Roman"/>
        </w:rPr>
        <w:t>通过分层教学、学生两两合作、小组合作及个性化的教学组织形式，让学生在做中感悟学具有批判性思维、创造性思维、关怀性思维和协调思维。倡导自主探究、实践体验、合作交流的学习方式与接受性学习方式的有机结合。加强学校、社会和网络教育资源的同步建设，重视课内、课外多种学习途径的结合，重视学校课程和更广泛的社会实践的有机结合，形成丰富多彩的学习环境。除此之外，学校鼓励各个学科利用多种资源，以各种方式开展拓活动，鼓励开展以开拓眼界、社区服务、户外生存、慈善义举等为目的各项活动，鼓励师生参加知识类、动手操作、运动艺术的比赛、展览和联谊。</w:t>
      </w:r>
    </w:p>
    <w:p>
      <w:pPr>
        <w:pStyle w:val="15"/>
        <w:numPr>
          <w:ilvl w:val="0"/>
          <w:numId w:val="4"/>
        </w:numPr>
        <w:spacing w:line="360" w:lineRule="auto"/>
        <w:ind w:firstLineChars="0"/>
        <w:rPr>
          <w:rFonts w:ascii="Times New Roman" w:hAnsi="Times New Roman"/>
        </w:rPr>
      </w:pPr>
      <w:r>
        <w:rPr>
          <w:rFonts w:ascii="Times New Roman" w:hAnsi="Times New Roman"/>
        </w:rPr>
        <w:t>丰富德育内涵，在重视品德和行为规范教育的基础上，加强以爱国主义为核心的民族精神教育，弘扬厦门的城市精神的同时，增强学生的民主与法制意识、诚信意识和生命意识，重视人文精神与科学精神的培养。改进德育方式，拓宽德育渠道，突出各学习领域的德育作用，加强学生社团与学生会活动，发挥学校、家庭和社会的综合德育功能，提高德育的针对性和实效性。重视培养学生乐于动手、勤于实践、用于创新的意识、习惯和能力。通过多种途径，包括各类实践活动、社团活动和班级活动等，促进学生形成积极的生活和学习态度、良好的学习策略和可持续发展的学习能力。重视教育中的情感因素，充分发挥积极的情感对“优教促学”的作用，营造良好的情感氛围和育人环境，促进学生认知与情感的和谐发展。</w:t>
      </w:r>
    </w:p>
    <w:p>
      <w:pPr>
        <w:pStyle w:val="15"/>
        <w:numPr>
          <w:ilvl w:val="0"/>
          <w:numId w:val="3"/>
        </w:numPr>
        <w:spacing w:line="360" w:lineRule="auto"/>
        <w:ind w:firstLineChars="0"/>
        <w:jc w:val="left"/>
        <w:rPr>
          <w:rFonts w:ascii="Times New Roman" w:hAnsi="Times New Roman"/>
          <w:b/>
          <w:color w:val="002060"/>
          <w:szCs w:val="21"/>
        </w:rPr>
      </w:pPr>
      <w:r>
        <w:rPr>
          <w:rFonts w:ascii="Times New Roman" w:hAnsi="Times New Roman"/>
          <w:b/>
          <w:color w:val="002060"/>
          <w:szCs w:val="21"/>
        </w:rPr>
        <w:t>课程实施的管理与保障</w:t>
      </w:r>
    </w:p>
    <w:p>
      <w:pPr>
        <w:pStyle w:val="15"/>
        <w:numPr>
          <w:ilvl w:val="0"/>
          <w:numId w:val="5"/>
        </w:numPr>
        <w:spacing w:line="360" w:lineRule="auto"/>
        <w:ind w:firstLineChars="0"/>
        <w:jc w:val="left"/>
        <w:rPr>
          <w:rFonts w:ascii="Times New Roman" w:hAnsi="Times New Roman"/>
          <w:b/>
          <w:color w:val="002060"/>
          <w:szCs w:val="21"/>
        </w:rPr>
      </w:pPr>
      <w:r>
        <w:rPr>
          <w:rFonts w:ascii="Times New Roman" w:hAnsi="Times New Roman"/>
          <w:b/>
          <w:color w:val="002060"/>
          <w:szCs w:val="21"/>
        </w:rPr>
        <w:t>课程管理制度化</w:t>
      </w:r>
    </w:p>
    <w:p>
      <w:pPr>
        <w:pStyle w:val="15"/>
        <w:spacing w:line="360" w:lineRule="auto"/>
        <w:ind w:left="420" w:firstLine="0" w:firstLineChars="0"/>
        <w:jc w:val="left"/>
        <w:rPr>
          <w:rFonts w:ascii="Times New Roman" w:hAnsi="Times New Roman"/>
          <w:szCs w:val="21"/>
        </w:rPr>
      </w:pPr>
      <w:r>
        <w:rPr>
          <w:rFonts w:hint="eastAsia" w:ascii="Times New Roman" w:hAnsi="Times New Roman"/>
          <w:szCs w:val="21"/>
        </w:rPr>
        <w:t>学校已有的各类制度</w:t>
      </w:r>
    </w:p>
    <w:p>
      <w:pPr>
        <w:pStyle w:val="15"/>
        <w:spacing w:line="360" w:lineRule="auto"/>
        <w:ind w:left="420" w:firstLine="0" w:firstLineChars="0"/>
        <w:jc w:val="left"/>
        <w:rPr>
          <w:rFonts w:ascii="Times New Roman" w:hAnsi="Times New Roman"/>
          <w:szCs w:val="21"/>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center"/>
              <w:rPr>
                <w:rFonts w:ascii="Times New Roman" w:hAnsi="Times New Roman"/>
                <w:color w:val="000000"/>
                <w:szCs w:val="21"/>
              </w:rPr>
            </w:pPr>
            <w:r>
              <w:rPr>
                <w:rFonts w:hint="eastAsia" w:ascii="Times New Roman" w:hAnsi="Times New Roman"/>
                <w:color w:val="000000"/>
                <w:szCs w:val="21"/>
              </w:rPr>
              <w:t>学校已有的各类制度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1. 备课、上课、作业布置与批改常规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2. 学生评价机制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3. 听评课制度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 xml:space="preserve">4. 考试制度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 xml:space="preserve">5. </w:t>
            </w:r>
            <w:r>
              <w:rPr>
                <w:rFonts w:hint="eastAsia" w:ascii="Times New Roman" w:hAnsi="Times New Roman"/>
                <w:color w:val="000000"/>
                <w:szCs w:val="21"/>
              </w:rPr>
              <w:t>教学</w:t>
            </w:r>
            <w:r>
              <w:rPr>
                <w:rFonts w:ascii="Times New Roman" w:hAnsi="Times New Roman"/>
                <w:color w:val="000000"/>
                <w:szCs w:val="21"/>
              </w:rPr>
              <w:t>质量</w:t>
            </w:r>
            <w:r>
              <w:rPr>
                <w:rFonts w:hint="eastAsia" w:ascii="Times New Roman" w:hAnsi="Times New Roman"/>
                <w:color w:val="000000"/>
                <w:szCs w:val="21"/>
              </w:rPr>
              <w:t>评估</w:t>
            </w:r>
            <w:r>
              <w:rPr>
                <w:rFonts w:ascii="Times New Roman" w:hAnsi="Times New Roman"/>
                <w:color w:val="000000"/>
                <w:szCs w:val="21"/>
              </w:rPr>
              <w:t>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6. 培优补差制度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7. 带教制度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95" w:type="dxa"/>
          </w:tcPr>
          <w:p>
            <w:pPr>
              <w:spacing w:line="360" w:lineRule="auto"/>
              <w:jc w:val="left"/>
              <w:rPr>
                <w:rFonts w:ascii="Times New Roman" w:hAnsi="Times New Roman"/>
                <w:color w:val="000000"/>
                <w:szCs w:val="21"/>
              </w:rPr>
            </w:pPr>
            <w:r>
              <w:rPr>
                <w:rFonts w:ascii="Times New Roman" w:hAnsi="Times New Roman"/>
                <w:color w:val="000000"/>
                <w:szCs w:val="21"/>
              </w:rPr>
              <w:t xml:space="preserve">8. </w:t>
            </w:r>
            <w:r>
              <w:rPr>
                <w:rFonts w:hint="eastAsia" w:ascii="Times New Roman" w:hAnsi="Times New Roman"/>
                <w:color w:val="000000"/>
                <w:szCs w:val="21"/>
              </w:rPr>
              <w:t>跨文化环境下的</w:t>
            </w:r>
            <w:r>
              <w:rPr>
                <w:rFonts w:ascii="Times New Roman" w:hAnsi="Times New Roman"/>
                <w:color w:val="000000"/>
                <w:szCs w:val="21"/>
              </w:rPr>
              <w:t>教与学原则</w:t>
            </w:r>
          </w:p>
        </w:tc>
      </w:tr>
    </w:tbl>
    <w:p>
      <w:pPr>
        <w:spacing w:line="360" w:lineRule="auto"/>
        <w:jc w:val="left"/>
        <w:rPr>
          <w:rFonts w:ascii="Times New Roman" w:hAnsi="Times New Roman"/>
          <w:color w:val="000000"/>
          <w:szCs w:val="21"/>
        </w:rPr>
      </w:pPr>
    </w:p>
    <w:p>
      <w:pPr>
        <w:pStyle w:val="15"/>
        <w:numPr>
          <w:ilvl w:val="0"/>
          <w:numId w:val="5"/>
        </w:numPr>
        <w:spacing w:line="360" w:lineRule="auto"/>
        <w:ind w:firstLineChars="0"/>
        <w:jc w:val="left"/>
        <w:rPr>
          <w:rFonts w:ascii="Times New Roman" w:hAnsi="Times New Roman"/>
          <w:b/>
          <w:color w:val="002060"/>
          <w:szCs w:val="21"/>
        </w:rPr>
      </w:pPr>
      <w:r>
        <w:rPr>
          <w:rFonts w:ascii="Times New Roman" w:hAnsi="Times New Roman"/>
          <w:b/>
          <w:color w:val="002060"/>
          <w:szCs w:val="21"/>
        </w:rPr>
        <w:t>课程评价科学化</w:t>
      </w:r>
    </w:p>
    <w:p>
      <w:pPr>
        <w:pStyle w:val="15"/>
        <w:spacing w:line="360" w:lineRule="auto"/>
        <w:ind w:left="420" w:leftChars="200"/>
        <w:jc w:val="left"/>
        <w:rPr>
          <w:rFonts w:ascii="Times New Roman" w:hAnsi="Times New Roman"/>
          <w:color w:val="000000"/>
          <w:szCs w:val="21"/>
        </w:rPr>
      </w:pPr>
      <w:r>
        <w:rPr>
          <w:rFonts w:ascii="Times New Roman" w:hAnsi="Times New Roman"/>
          <w:color w:val="000000"/>
          <w:szCs w:val="21"/>
        </w:rPr>
        <w:t>我们将综合诊断性评价、形成性评价和总结性评价三类方式，以求对课程有一个较为完整和全面的的评价。</w:t>
      </w:r>
    </w:p>
    <w:p>
      <w:pPr>
        <w:pStyle w:val="15"/>
        <w:spacing w:line="360" w:lineRule="auto"/>
        <w:ind w:left="420" w:leftChars="200"/>
        <w:jc w:val="left"/>
        <w:rPr>
          <w:rFonts w:ascii="Times New Roman" w:hAnsi="Times New Roman"/>
          <w:color w:val="000000"/>
          <w:szCs w:val="21"/>
        </w:rPr>
      </w:pPr>
      <w:r>
        <w:rPr>
          <w:rFonts w:ascii="Times New Roman" w:hAnsi="Times New Roman"/>
          <w:color w:val="000000"/>
          <w:szCs w:val="21"/>
        </w:rPr>
        <w:t>诊断性评价是对课程进展过程中可能出现的问题做出评价诊断，也是在课程开展之前或进展到某一阶段的开始之前所做的评判，以求发现课程中所存在的问题并且确定下一阶段的方向及任务。</w:t>
      </w:r>
    </w:p>
    <w:p>
      <w:pPr>
        <w:pStyle w:val="15"/>
        <w:spacing w:line="360" w:lineRule="auto"/>
        <w:ind w:left="420" w:leftChars="200"/>
        <w:jc w:val="left"/>
        <w:rPr>
          <w:rFonts w:ascii="Times New Roman" w:hAnsi="Times New Roman"/>
          <w:color w:val="000000"/>
          <w:szCs w:val="21"/>
        </w:rPr>
      </w:pPr>
      <w:r>
        <w:rPr>
          <w:rFonts w:ascii="Times New Roman" w:hAnsi="Times New Roman"/>
          <w:color w:val="000000"/>
          <w:szCs w:val="21"/>
        </w:rPr>
        <w:t>形成性评价是为改进现行课程计划或为正在进行的课程与教学活动提供反馈信息而从事的评价。形成性评价最主要的目的在于探明计划的失当之处，以便为修订或改进提供证据，着重于分析、比较、诊断、改进。</w:t>
      </w:r>
    </w:p>
    <w:p>
      <w:pPr>
        <w:pStyle w:val="15"/>
        <w:spacing w:line="360" w:lineRule="auto"/>
        <w:ind w:left="420" w:leftChars="200"/>
        <w:jc w:val="left"/>
        <w:rPr>
          <w:rFonts w:ascii="Times New Roman" w:hAnsi="Times New Roman"/>
          <w:color w:val="000000"/>
          <w:szCs w:val="21"/>
        </w:rPr>
      </w:pPr>
      <w:r>
        <w:rPr>
          <w:rFonts w:ascii="Times New Roman" w:hAnsi="Times New Roman"/>
          <w:color w:val="000000"/>
          <w:szCs w:val="21"/>
        </w:rPr>
        <w:t>总结性评价是在课程实施或进行以后对实施效果的评价，是一种事后评价。总结性评价的直接目的在于做出关于课程效果的判断，从而区别优劣和等级。</w:t>
      </w:r>
    </w:p>
    <w:p>
      <w:pPr>
        <w:pStyle w:val="15"/>
        <w:spacing w:line="360" w:lineRule="auto"/>
        <w:ind w:left="420" w:leftChars="200"/>
        <w:jc w:val="left"/>
        <w:rPr>
          <w:rFonts w:ascii="Times New Roman" w:hAnsi="Times New Roman"/>
          <w:color w:val="000000"/>
          <w:szCs w:val="21"/>
        </w:rPr>
      </w:pPr>
      <w:r>
        <w:rPr>
          <w:rFonts w:ascii="Times New Roman" w:hAnsi="Times New Roman"/>
          <w:color w:val="000000"/>
          <w:szCs w:val="21"/>
        </w:rPr>
        <w:t>同时，为了确保评价的公平公正性，我们将综合内部人员评价与外部人员评价。</w:t>
      </w:r>
    </w:p>
    <w:p>
      <w:pPr>
        <w:pStyle w:val="15"/>
        <w:spacing w:line="360" w:lineRule="auto"/>
        <w:ind w:left="420"/>
        <w:jc w:val="left"/>
        <w:rPr>
          <w:rFonts w:ascii="Times New Roman" w:hAnsi="Times New Roman"/>
          <w:color w:val="000000"/>
          <w:szCs w:val="21"/>
        </w:rPr>
      </w:pPr>
      <w:r>
        <w:rPr>
          <w:rFonts w:ascii="Times New Roman" w:hAnsi="Times New Roman"/>
          <w:color w:val="000000"/>
          <w:szCs w:val="21"/>
        </w:rPr>
        <w:t>内部人员评价其评价者是课程</w:t>
      </w:r>
      <w:r>
        <w:rPr>
          <w:rFonts w:hint="eastAsia" w:ascii="Times New Roman" w:hAnsi="Times New Roman"/>
          <w:color w:val="000000"/>
          <w:szCs w:val="21"/>
        </w:rPr>
        <w:t>研发</w:t>
      </w:r>
      <w:r>
        <w:rPr>
          <w:rFonts w:ascii="Times New Roman" w:hAnsi="Times New Roman"/>
          <w:color w:val="000000"/>
          <w:szCs w:val="21"/>
        </w:rPr>
        <w:t>、设计的</w:t>
      </w:r>
      <w:r>
        <w:rPr>
          <w:rFonts w:hint="eastAsia" w:ascii="Times New Roman" w:hAnsi="Times New Roman"/>
          <w:color w:val="000000"/>
          <w:szCs w:val="21"/>
        </w:rPr>
        <w:t>教师</w:t>
      </w:r>
      <w:r>
        <w:rPr>
          <w:rFonts w:ascii="Times New Roman" w:hAnsi="Times New Roman"/>
          <w:color w:val="000000"/>
          <w:szCs w:val="21"/>
        </w:rPr>
        <w:t>，其主要目的在于改进课程开发、设计的过程，首要任务是弄清预先设定的目标是否已经实现。</w:t>
      </w:r>
    </w:p>
    <w:p>
      <w:pPr>
        <w:pStyle w:val="15"/>
        <w:spacing w:line="360" w:lineRule="auto"/>
        <w:ind w:left="420"/>
        <w:jc w:val="left"/>
        <w:rPr>
          <w:rFonts w:ascii="Times New Roman" w:hAnsi="Times New Roman"/>
          <w:color w:val="000000"/>
          <w:szCs w:val="21"/>
        </w:rPr>
      </w:pPr>
      <w:r>
        <w:rPr>
          <w:rFonts w:ascii="Times New Roman" w:hAnsi="Times New Roman"/>
          <w:color w:val="000000"/>
          <w:szCs w:val="21"/>
        </w:rPr>
        <w:t>外部人员评价是以外部人员为课程评价主体的评价，更具有客观性。外部人员可以看问题不带有主观倾向，能更清晰地看待问题，提出改进意见。（外部人员包括：上级主管部门、家长、第三方评价机构等）</w:t>
      </w:r>
    </w:p>
    <w:p>
      <w:pPr>
        <w:pStyle w:val="15"/>
        <w:numPr>
          <w:ilvl w:val="0"/>
          <w:numId w:val="5"/>
        </w:numPr>
        <w:spacing w:line="360" w:lineRule="auto"/>
        <w:ind w:firstLineChars="0"/>
        <w:jc w:val="left"/>
        <w:rPr>
          <w:rFonts w:ascii="Times New Roman" w:hAnsi="Times New Roman"/>
          <w:b/>
          <w:color w:val="002060"/>
          <w:szCs w:val="21"/>
        </w:rPr>
      </w:pPr>
      <w:r>
        <w:rPr>
          <w:rFonts w:ascii="Times New Roman" w:hAnsi="Times New Roman"/>
          <w:b/>
          <w:color w:val="002060"/>
          <w:szCs w:val="21"/>
        </w:rPr>
        <w:t>教师培训常态化</w:t>
      </w:r>
    </w:p>
    <w:p>
      <w:pPr>
        <w:spacing w:line="360" w:lineRule="auto"/>
        <w:ind w:left="420" w:leftChars="200" w:firstLine="420" w:firstLineChars="200"/>
        <w:jc w:val="left"/>
        <w:rPr>
          <w:rFonts w:ascii="Times New Roman" w:hAnsi="Times New Roman"/>
          <w:color w:val="000000"/>
          <w:szCs w:val="21"/>
        </w:rPr>
      </w:pPr>
      <w:r>
        <w:rPr>
          <w:rFonts w:ascii="Times New Roman" w:hAnsi="Times New Roman"/>
          <w:color w:val="000000"/>
          <w:szCs w:val="21"/>
        </w:rPr>
        <w:t>提高教师的核心素养是各类课程有效开展的基础。而核心素养的培育则是一次次融化与弥漫的过程，它需要的是教师不断提升自我。我校教师培训的主要方式将包括：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2" w:type="dxa"/>
          </w:tcPr>
          <w:p>
            <w:pPr>
              <w:spacing w:line="360" w:lineRule="auto"/>
              <w:jc w:val="center"/>
              <w:rPr>
                <w:rFonts w:ascii="Times New Roman" w:hAnsi="Times New Roman"/>
                <w:color w:val="000000"/>
                <w:szCs w:val="21"/>
              </w:rPr>
            </w:pPr>
            <w:bookmarkStart w:id="2" w:name="_GoBack"/>
            <w:r>
              <w:rPr>
                <w:rFonts w:ascii="Times New Roman" w:hAnsi="Times New Roman"/>
                <w:color w:val="000000"/>
                <w:szCs w:val="21"/>
              </w:rPr>
              <w:t>立足于专业成长</w:t>
            </w:r>
          </w:p>
        </w:tc>
        <w:tc>
          <w:tcPr>
            <w:tcW w:w="4722" w:type="dxa"/>
          </w:tcPr>
          <w:p>
            <w:pPr>
              <w:spacing w:line="360" w:lineRule="auto"/>
              <w:jc w:val="center"/>
              <w:rPr>
                <w:rFonts w:ascii="Times New Roman" w:hAnsi="Times New Roman"/>
                <w:color w:val="000000"/>
                <w:szCs w:val="21"/>
              </w:rPr>
            </w:pPr>
            <w:r>
              <w:rPr>
                <w:rFonts w:ascii="Times New Roman" w:hAnsi="Times New Roman"/>
                <w:color w:val="000000"/>
                <w:szCs w:val="21"/>
              </w:rPr>
              <w:t>立足于综合素养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2" w:type="dxa"/>
          </w:tcPr>
          <w:p>
            <w:pPr>
              <w:spacing w:line="360" w:lineRule="auto"/>
              <w:jc w:val="left"/>
              <w:rPr>
                <w:rFonts w:ascii="Times New Roman" w:hAnsi="Times New Roman"/>
                <w:color w:val="000000"/>
                <w:szCs w:val="21"/>
              </w:rPr>
            </w:pPr>
            <w:r>
              <w:rPr>
                <w:rFonts w:ascii="Times New Roman" w:hAnsi="Times New Roman"/>
                <w:color w:val="000000"/>
                <w:szCs w:val="21"/>
              </w:rPr>
              <w:t>外部培训</w:t>
            </w:r>
          </w:p>
        </w:tc>
        <w:tc>
          <w:tcPr>
            <w:tcW w:w="4722" w:type="dxa"/>
          </w:tcPr>
          <w:p>
            <w:pPr>
              <w:spacing w:line="360" w:lineRule="auto"/>
              <w:jc w:val="left"/>
              <w:rPr>
                <w:rFonts w:ascii="Times New Roman" w:hAnsi="Times New Roman"/>
                <w:color w:val="000000"/>
                <w:szCs w:val="21"/>
              </w:rPr>
            </w:pPr>
            <w:r>
              <w:rPr>
                <w:rFonts w:ascii="Times New Roman" w:hAnsi="Times New Roman"/>
                <w:color w:val="000000"/>
                <w:szCs w:val="21"/>
              </w:rPr>
              <w:t>协和集团“星计划”领导力培训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2" w:type="dxa"/>
          </w:tcPr>
          <w:p>
            <w:pPr>
              <w:spacing w:line="360" w:lineRule="auto"/>
              <w:jc w:val="left"/>
              <w:rPr>
                <w:rFonts w:ascii="Times New Roman" w:hAnsi="Times New Roman"/>
                <w:color w:val="000000"/>
                <w:szCs w:val="21"/>
              </w:rPr>
            </w:pPr>
            <w:r>
              <w:rPr>
                <w:rFonts w:ascii="Times New Roman" w:hAnsi="Times New Roman"/>
                <w:color w:val="000000"/>
                <w:szCs w:val="21"/>
              </w:rPr>
              <w:t>校内教研活动，市区教研</w:t>
            </w:r>
          </w:p>
        </w:tc>
        <w:tc>
          <w:tcPr>
            <w:tcW w:w="4722" w:type="dxa"/>
          </w:tcPr>
          <w:p>
            <w:pPr>
              <w:spacing w:line="360" w:lineRule="auto"/>
              <w:jc w:val="left"/>
              <w:rPr>
                <w:rFonts w:ascii="Times New Roman" w:hAnsi="Times New Roman"/>
                <w:color w:val="000000"/>
                <w:szCs w:val="21"/>
              </w:rPr>
            </w:pPr>
            <w:r>
              <w:rPr>
                <w:rFonts w:ascii="Times New Roman" w:hAnsi="Times New Roman"/>
                <w:color w:val="000000"/>
                <w:szCs w:val="21"/>
              </w:rPr>
              <w:t>教师社团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2" w:type="dxa"/>
          </w:tcPr>
          <w:p>
            <w:pPr>
              <w:spacing w:line="360" w:lineRule="auto"/>
              <w:jc w:val="left"/>
              <w:rPr>
                <w:rFonts w:ascii="Times New Roman" w:hAnsi="Times New Roman"/>
                <w:color w:val="000000"/>
                <w:szCs w:val="21"/>
              </w:rPr>
            </w:pPr>
            <w:r>
              <w:rPr>
                <w:rFonts w:ascii="Times New Roman" w:hAnsi="Times New Roman"/>
                <w:color w:val="000000"/>
                <w:szCs w:val="21"/>
              </w:rPr>
              <w:t>协和集团教师专业工作坊</w:t>
            </w:r>
          </w:p>
        </w:tc>
        <w:tc>
          <w:tcPr>
            <w:tcW w:w="4722" w:type="dxa"/>
          </w:tcPr>
          <w:p>
            <w:pPr>
              <w:spacing w:line="360" w:lineRule="auto"/>
              <w:jc w:val="left"/>
              <w:rPr>
                <w:rFonts w:ascii="Times New Roman" w:hAnsi="Times New Roman"/>
                <w:color w:val="000000"/>
                <w:szCs w:val="21"/>
              </w:rPr>
            </w:pPr>
            <w:r>
              <w:rPr>
                <w:rFonts w:ascii="Times New Roman" w:hAnsi="Times New Roman"/>
                <w:color w:val="000000"/>
                <w:szCs w:val="21"/>
              </w:rPr>
              <w:t>各类线上培训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2" w:type="dxa"/>
          </w:tcPr>
          <w:p>
            <w:pPr>
              <w:spacing w:line="360" w:lineRule="auto"/>
              <w:jc w:val="left"/>
              <w:rPr>
                <w:rFonts w:ascii="Times New Roman" w:hAnsi="Times New Roman"/>
                <w:color w:val="000000"/>
                <w:szCs w:val="21"/>
              </w:rPr>
            </w:pPr>
            <w:r>
              <w:rPr>
                <w:rFonts w:ascii="Times New Roman" w:hAnsi="Times New Roman"/>
                <w:color w:val="000000"/>
                <w:szCs w:val="21"/>
              </w:rPr>
              <w:t>教师常规赛课及研修课</w:t>
            </w:r>
          </w:p>
        </w:tc>
        <w:tc>
          <w:tcPr>
            <w:tcW w:w="4722" w:type="dxa"/>
          </w:tcPr>
          <w:p>
            <w:pPr>
              <w:spacing w:line="360" w:lineRule="auto"/>
              <w:jc w:val="left"/>
              <w:rPr>
                <w:rFonts w:ascii="Times New Roman" w:hAnsi="Times New Roman"/>
                <w:color w:val="000000"/>
                <w:szCs w:val="21"/>
              </w:rPr>
            </w:pPr>
            <w:r>
              <w:rPr>
                <w:rFonts w:ascii="Times New Roman" w:hAnsi="Times New Roman"/>
                <w:color w:val="000000"/>
                <w:szCs w:val="21"/>
              </w:rPr>
              <w:t>教师个人发展计划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2" w:type="dxa"/>
          </w:tcPr>
          <w:p>
            <w:pPr>
              <w:spacing w:line="360" w:lineRule="auto"/>
              <w:jc w:val="left"/>
              <w:rPr>
                <w:rFonts w:ascii="Times New Roman" w:hAnsi="Times New Roman"/>
                <w:color w:val="000000"/>
                <w:szCs w:val="21"/>
              </w:rPr>
            </w:pPr>
            <w:r>
              <w:rPr>
                <w:rFonts w:ascii="Times New Roman" w:hAnsi="Times New Roman"/>
                <w:color w:val="000000"/>
                <w:szCs w:val="21"/>
              </w:rPr>
              <w:t>带教</w:t>
            </w:r>
          </w:p>
        </w:tc>
        <w:tc>
          <w:tcPr>
            <w:tcW w:w="4722" w:type="dxa"/>
          </w:tcPr>
          <w:p>
            <w:pPr>
              <w:spacing w:line="360" w:lineRule="auto"/>
              <w:jc w:val="left"/>
              <w:rPr>
                <w:rFonts w:ascii="Times New Roman" w:hAnsi="Times New Roman"/>
                <w:color w:val="000000"/>
                <w:szCs w:val="21"/>
              </w:rPr>
            </w:pPr>
            <w:r>
              <w:rPr>
                <w:rFonts w:ascii="Times New Roman" w:hAnsi="Times New Roman"/>
                <w:color w:val="000000"/>
                <w:szCs w:val="21"/>
              </w:rPr>
              <w:t>…….</w:t>
            </w:r>
          </w:p>
        </w:tc>
      </w:tr>
      <w:bookmarkEnd w:id="2"/>
    </w:tbl>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未来两年，我们将把教师培训从“培训”引向“学习”，</w:t>
      </w:r>
      <w:r>
        <w:rPr>
          <w:rFonts w:hint="eastAsia" w:ascii="Times New Roman" w:hAnsi="Times New Roman"/>
          <w:color w:val="000000"/>
          <w:szCs w:val="21"/>
        </w:rPr>
        <w:t>并</w:t>
      </w:r>
      <w:r>
        <w:rPr>
          <w:rFonts w:ascii="Times New Roman" w:hAnsi="Times New Roman"/>
          <w:color w:val="000000"/>
          <w:szCs w:val="21"/>
        </w:rPr>
        <w:t>走向“常态化”，不断探寻教师专业发展和提升的有效路径。为达成这一目标，我们将努力实现：</w:t>
      </w:r>
    </w:p>
    <w:p>
      <w:pPr>
        <w:spacing w:line="360" w:lineRule="auto"/>
        <w:ind w:left="420" w:leftChars="200"/>
        <w:jc w:val="left"/>
        <w:rPr>
          <w:rFonts w:ascii="Times New Roman" w:hAnsi="Times New Roman"/>
          <w:color w:val="000000"/>
          <w:szCs w:val="21"/>
        </w:rPr>
      </w:pPr>
      <w:r>
        <w:rPr>
          <w:rFonts w:ascii="Times New Roman" w:hAnsi="Times New Roman"/>
          <w:b/>
          <w:color w:val="000000"/>
          <w:szCs w:val="21"/>
        </w:rPr>
        <w:t>a. 集体备课常态化</w:t>
      </w:r>
      <w:r>
        <w:rPr>
          <w:rFonts w:ascii="Times New Roman" w:hAnsi="Times New Roman"/>
          <w:color w:val="000000"/>
          <w:szCs w:val="21"/>
        </w:rPr>
        <w:t xml:space="preserve"> ---- 集体互培：实行定时、定点、定人的集体备课制度，每次由主备人写出发言稿，其他教师进行评议、修改和补充，各任课教师再根据自己的情况形成个性化教案，组织教学；</w:t>
      </w:r>
    </w:p>
    <w:p>
      <w:pPr>
        <w:spacing w:line="360" w:lineRule="auto"/>
        <w:ind w:left="420" w:leftChars="200"/>
        <w:jc w:val="left"/>
        <w:rPr>
          <w:rFonts w:ascii="Times New Roman" w:hAnsi="Times New Roman"/>
          <w:color w:val="000000"/>
          <w:szCs w:val="21"/>
        </w:rPr>
      </w:pPr>
      <w:r>
        <w:rPr>
          <w:rFonts w:ascii="Times New Roman" w:hAnsi="Times New Roman"/>
          <w:b/>
          <w:color w:val="000000"/>
          <w:szCs w:val="21"/>
        </w:rPr>
        <w:t>b. 推门听课常态化</w:t>
      </w:r>
      <w:r>
        <w:rPr>
          <w:rFonts w:ascii="Times New Roman" w:hAnsi="Times New Roman"/>
          <w:color w:val="000000"/>
          <w:szCs w:val="21"/>
        </w:rPr>
        <w:t>---- 相互学习：推门听课时，有关领导及同组教师共同参加，课后评课。使得教师自觉树立每节课都是公开课的质量意识，提高课堂教学效率。通过评课实现相互切磋、相互学习的良好氛围；</w:t>
      </w:r>
    </w:p>
    <w:p>
      <w:pPr>
        <w:spacing w:line="360" w:lineRule="auto"/>
        <w:ind w:left="420" w:leftChars="200"/>
        <w:jc w:val="left"/>
        <w:rPr>
          <w:rFonts w:ascii="Times New Roman" w:hAnsi="Times New Roman"/>
          <w:color w:val="000000"/>
          <w:szCs w:val="21"/>
        </w:rPr>
      </w:pPr>
      <w:r>
        <w:rPr>
          <w:rFonts w:ascii="Times New Roman" w:hAnsi="Times New Roman"/>
          <w:b/>
          <w:color w:val="000000"/>
          <w:szCs w:val="21"/>
        </w:rPr>
        <w:t>c. 专业培训常态化</w:t>
      </w:r>
      <w:r>
        <w:rPr>
          <w:rFonts w:ascii="Times New Roman" w:hAnsi="Times New Roman"/>
          <w:color w:val="000000"/>
          <w:szCs w:val="21"/>
        </w:rPr>
        <w:t>---- 走出去、请进来：外出培训的教师回校后要对同科教师进行“二次培训”；学校还尽量将教研员、外校教学能手等人的讲座、示范课等引进学校，让更多的教师进行现场观摩。</w:t>
      </w:r>
    </w:p>
    <w:p>
      <w:pPr>
        <w:spacing w:line="360" w:lineRule="auto"/>
        <w:jc w:val="left"/>
        <w:rPr>
          <w:rFonts w:ascii="Times New Roman" w:hAnsi="Times New Roman"/>
          <w:b/>
          <w:color w:val="002060"/>
          <w:szCs w:val="21"/>
        </w:rPr>
      </w:pPr>
      <w:r>
        <w:rPr>
          <w:rFonts w:ascii="Times New Roman" w:hAnsi="Times New Roman"/>
          <w:b/>
          <w:color w:val="002060"/>
          <w:szCs w:val="21"/>
        </w:rPr>
        <w:t>四、课程计划的更新：</w:t>
      </w:r>
    </w:p>
    <w:p>
      <w:pPr>
        <w:pStyle w:val="15"/>
        <w:numPr>
          <w:ilvl w:val="0"/>
          <w:numId w:val="6"/>
        </w:numPr>
        <w:spacing w:line="360" w:lineRule="auto"/>
        <w:ind w:firstLineChars="0"/>
        <w:jc w:val="left"/>
        <w:rPr>
          <w:rFonts w:ascii="Times New Roman" w:hAnsi="Times New Roman"/>
          <w:b/>
          <w:color w:val="002060"/>
          <w:szCs w:val="21"/>
        </w:rPr>
      </w:pPr>
      <w:r>
        <w:rPr>
          <w:rFonts w:ascii="Times New Roman" w:hAnsi="Times New Roman"/>
          <w:b/>
          <w:color w:val="002060"/>
          <w:szCs w:val="21"/>
        </w:rPr>
        <w:t>课程计划是否需要更新的判定标准</w:t>
      </w:r>
    </w:p>
    <w:p>
      <w:pPr>
        <w:pStyle w:val="15"/>
        <w:numPr>
          <w:ilvl w:val="0"/>
          <w:numId w:val="7"/>
        </w:numPr>
        <w:spacing w:line="360" w:lineRule="auto"/>
        <w:ind w:firstLineChars="0"/>
        <w:jc w:val="left"/>
        <w:rPr>
          <w:rFonts w:ascii="Times New Roman" w:hAnsi="Times New Roman"/>
          <w:szCs w:val="21"/>
        </w:rPr>
      </w:pPr>
      <w:r>
        <w:rPr>
          <w:rFonts w:ascii="Times New Roman" w:hAnsi="Times New Roman"/>
          <w:szCs w:val="21"/>
        </w:rPr>
        <w:t>符合国家和地方的课程政策</w:t>
      </w:r>
    </w:p>
    <w:p>
      <w:pPr>
        <w:pStyle w:val="15"/>
        <w:spacing w:line="360" w:lineRule="auto"/>
        <w:ind w:left="420" w:firstLine="0" w:firstLineChars="0"/>
        <w:jc w:val="left"/>
        <w:rPr>
          <w:rFonts w:ascii="Times New Roman" w:hAnsi="Times New Roman"/>
          <w:szCs w:val="21"/>
        </w:rPr>
      </w:pPr>
      <w:r>
        <w:rPr>
          <w:rFonts w:ascii="Times New Roman" w:hAnsi="Times New Roman"/>
          <w:szCs w:val="21"/>
        </w:rPr>
        <w:t>我们将关注每一年国家和福建省高中课程政策的变化，并根据相关变化对我校各类课程进行调整。</w:t>
      </w:r>
    </w:p>
    <w:p>
      <w:pPr>
        <w:pStyle w:val="15"/>
        <w:numPr>
          <w:ilvl w:val="0"/>
          <w:numId w:val="7"/>
        </w:numPr>
        <w:spacing w:line="360" w:lineRule="auto"/>
        <w:ind w:firstLineChars="0"/>
        <w:jc w:val="left"/>
        <w:rPr>
          <w:rFonts w:ascii="Times New Roman" w:hAnsi="Times New Roman"/>
          <w:szCs w:val="21"/>
        </w:rPr>
      </w:pPr>
      <w:r>
        <w:rPr>
          <w:rFonts w:ascii="Times New Roman" w:hAnsi="Times New Roman"/>
          <w:szCs w:val="21"/>
        </w:rPr>
        <w:t>体现我校的教育哲学</w:t>
      </w:r>
    </w:p>
    <w:p>
      <w:pPr>
        <w:pStyle w:val="15"/>
        <w:spacing w:line="360" w:lineRule="auto"/>
        <w:jc w:val="left"/>
        <w:rPr>
          <w:rFonts w:ascii="Times New Roman" w:hAnsi="Times New Roman"/>
          <w:szCs w:val="21"/>
        </w:rPr>
      </w:pPr>
      <w:r>
        <w:rPr>
          <w:rFonts w:ascii="Times New Roman" w:hAnsi="Times New Roman"/>
          <w:szCs w:val="21"/>
        </w:rPr>
        <w:t>国贸协和高级中学目前所有课程的设置是从实际出发，建立在教师能力、学校愿景、教师和学生的需求的基础之上。随着时间的推移、学生的变化、社会需求的变化，我校的课程设置也将有所改进。</w:t>
      </w:r>
    </w:p>
    <w:p>
      <w:pPr>
        <w:pStyle w:val="15"/>
        <w:numPr>
          <w:ilvl w:val="0"/>
          <w:numId w:val="7"/>
        </w:numPr>
        <w:spacing w:line="360" w:lineRule="auto"/>
        <w:ind w:firstLineChars="0"/>
        <w:jc w:val="left"/>
        <w:rPr>
          <w:rFonts w:ascii="Times New Roman" w:hAnsi="Times New Roman"/>
          <w:szCs w:val="21"/>
        </w:rPr>
      </w:pPr>
      <w:r>
        <w:rPr>
          <w:rFonts w:ascii="Times New Roman" w:hAnsi="Times New Roman"/>
          <w:szCs w:val="21"/>
        </w:rPr>
        <w:t>课程实施过程中师生的主动性</w:t>
      </w:r>
    </w:p>
    <w:p>
      <w:pPr>
        <w:pStyle w:val="15"/>
        <w:spacing w:line="360" w:lineRule="auto"/>
        <w:jc w:val="left"/>
        <w:rPr>
          <w:rFonts w:ascii="Times New Roman" w:hAnsi="Times New Roman"/>
          <w:szCs w:val="21"/>
        </w:rPr>
      </w:pPr>
      <w:r>
        <w:rPr>
          <w:rFonts w:ascii="Times New Roman" w:hAnsi="Times New Roman"/>
          <w:szCs w:val="21"/>
        </w:rPr>
        <w:t>当某类或某个课程契合了学生的兴趣、符合了学生的</w:t>
      </w:r>
      <w:r>
        <w:rPr>
          <w:rFonts w:hint="eastAsia" w:ascii="Times New Roman" w:hAnsi="Times New Roman"/>
          <w:szCs w:val="21"/>
        </w:rPr>
        <w:t>双语语言</w:t>
      </w:r>
      <w:r>
        <w:rPr>
          <w:rFonts w:ascii="Times New Roman" w:hAnsi="Times New Roman"/>
          <w:szCs w:val="21"/>
        </w:rPr>
        <w:t>发展</w:t>
      </w:r>
      <w:r>
        <w:rPr>
          <w:rFonts w:hint="eastAsia" w:ascii="Times New Roman" w:hAnsi="Times New Roman"/>
          <w:szCs w:val="21"/>
        </w:rPr>
        <w:t>、综合能力发展</w:t>
      </w:r>
      <w:r>
        <w:rPr>
          <w:rFonts w:ascii="Times New Roman" w:hAnsi="Times New Roman"/>
          <w:szCs w:val="21"/>
        </w:rPr>
        <w:t>和情感形成的规律、满足了</w:t>
      </w:r>
      <w:r>
        <w:rPr>
          <w:rFonts w:hint="eastAsia" w:ascii="Times New Roman" w:hAnsi="Times New Roman"/>
          <w:szCs w:val="21"/>
        </w:rPr>
        <w:t>学生的未来升学</w:t>
      </w:r>
      <w:r>
        <w:rPr>
          <w:rFonts w:ascii="Times New Roman" w:hAnsi="Times New Roman"/>
          <w:szCs w:val="21"/>
        </w:rPr>
        <w:t>需求，同时也考虑到教师的能力及发展的总体特征，那么在实施过程中就能激发师生的主动性。反之则说明我们的课程和我们的期待及师生的发展需求有所偏离。</w:t>
      </w:r>
    </w:p>
    <w:p>
      <w:pPr>
        <w:pStyle w:val="15"/>
        <w:numPr>
          <w:ilvl w:val="0"/>
          <w:numId w:val="6"/>
        </w:numPr>
        <w:spacing w:line="360" w:lineRule="auto"/>
        <w:ind w:firstLineChars="0"/>
        <w:jc w:val="left"/>
        <w:rPr>
          <w:rFonts w:ascii="Times New Roman" w:hAnsi="Times New Roman"/>
          <w:b/>
          <w:color w:val="002060"/>
          <w:szCs w:val="21"/>
        </w:rPr>
      </w:pPr>
      <w:r>
        <w:rPr>
          <w:rFonts w:ascii="Times New Roman" w:hAnsi="Times New Roman"/>
          <w:b/>
          <w:color w:val="002060"/>
          <w:szCs w:val="21"/>
        </w:rPr>
        <w:t>课程计划的审议</w:t>
      </w:r>
    </w:p>
    <w:p>
      <w:pPr>
        <w:pStyle w:val="15"/>
        <w:spacing w:line="360" w:lineRule="auto"/>
        <w:ind w:left="420" w:firstLine="0" w:firstLineChars="0"/>
        <w:jc w:val="left"/>
        <w:rPr>
          <w:rFonts w:ascii="Times New Roman" w:hAnsi="Times New Roman"/>
          <w:szCs w:val="21"/>
        </w:rPr>
      </w:pPr>
      <w:r>
        <w:rPr>
          <w:rFonts w:ascii="Times New Roman" w:hAnsi="Times New Roman"/>
          <w:szCs w:val="21"/>
        </w:rPr>
        <w:t>审议主体：学校课程部、教师、学生及家长</w:t>
      </w:r>
    </w:p>
    <w:p>
      <w:pPr>
        <w:pStyle w:val="15"/>
        <w:spacing w:line="360" w:lineRule="auto"/>
        <w:ind w:left="420" w:firstLine="0" w:firstLineChars="0"/>
        <w:jc w:val="left"/>
        <w:rPr>
          <w:rFonts w:ascii="Times New Roman" w:hAnsi="Times New Roman"/>
          <w:szCs w:val="21"/>
        </w:rPr>
      </w:pPr>
      <w:r>
        <w:rPr>
          <w:rFonts w:ascii="Times New Roman" w:hAnsi="Times New Roman"/>
          <w:szCs w:val="21"/>
        </w:rPr>
        <w:t>审议要素：课程目标、课程内容、课程实施、课程评价</w:t>
      </w:r>
    </w:p>
    <w:p>
      <w:pPr>
        <w:pStyle w:val="15"/>
        <w:spacing w:line="360" w:lineRule="auto"/>
        <w:ind w:left="420" w:firstLine="0" w:firstLineChars="0"/>
        <w:jc w:val="left"/>
        <w:rPr>
          <w:rFonts w:ascii="Times New Roman" w:hAnsi="Times New Roman"/>
          <w:szCs w:val="21"/>
        </w:rPr>
      </w:pPr>
      <w:r>
        <w:rPr>
          <w:rFonts w:ascii="Times New Roman" w:hAnsi="Times New Roman"/>
          <w:szCs w:val="21"/>
        </w:rPr>
        <w:t>审议方式：专项会议、问卷、报告</w:t>
      </w:r>
    </w:p>
    <w:p>
      <w:pPr>
        <w:pStyle w:val="15"/>
        <w:numPr>
          <w:ilvl w:val="0"/>
          <w:numId w:val="6"/>
        </w:numPr>
        <w:spacing w:line="360" w:lineRule="auto"/>
        <w:ind w:firstLineChars="0"/>
        <w:jc w:val="left"/>
        <w:rPr>
          <w:rFonts w:ascii="Times New Roman" w:hAnsi="Times New Roman"/>
          <w:b/>
          <w:color w:val="002060"/>
          <w:szCs w:val="21"/>
        </w:rPr>
      </w:pPr>
      <w:r>
        <w:rPr>
          <w:rFonts w:ascii="Times New Roman" w:hAnsi="Times New Roman"/>
          <w:b/>
          <w:color w:val="002060"/>
          <w:szCs w:val="21"/>
        </w:rPr>
        <w:t>课程计划更新的路径</w:t>
      </w:r>
    </w:p>
    <w:p>
      <w:pPr>
        <w:pStyle w:val="15"/>
        <w:spacing w:line="360" w:lineRule="auto"/>
        <w:ind w:left="420"/>
        <w:jc w:val="left"/>
        <w:rPr>
          <w:rFonts w:ascii="Times New Roman" w:hAnsi="Times New Roman"/>
          <w:szCs w:val="21"/>
        </w:rPr>
      </w:pPr>
      <w:r>
        <w:rPr>
          <w:rFonts w:hint="eastAsia" w:ascii="Times New Roman" w:hAnsi="Times New Roman"/>
          <w:szCs w:val="21"/>
        </w:rPr>
        <w:t>在课程实施的过程中，我校将</w:t>
      </w:r>
      <w:r>
        <w:rPr>
          <w:rFonts w:ascii="Times New Roman" w:hAnsi="Times New Roman"/>
          <w:szCs w:val="21"/>
        </w:rPr>
        <w:t>通过信息收集和定性定量的分析，对课程的各类指标进行评估，在评估结果出来之后，根据反馈的信息不断完善现行的课程计划方案，再实施，再评价，再改进，经历多次动态循环之后，</w:t>
      </w:r>
      <w:r>
        <w:rPr>
          <w:rFonts w:hint="eastAsia" w:ascii="Times New Roman" w:hAnsi="Times New Roman"/>
          <w:szCs w:val="21"/>
        </w:rPr>
        <w:t>使之</w:t>
      </w:r>
      <w:r>
        <w:rPr>
          <w:rFonts w:ascii="Times New Roman" w:hAnsi="Times New Roman"/>
          <w:szCs w:val="21"/>
        </w:rPr>
        <w:t>成为</w:t>
      </w:r>
      <w:r>
        <w:rPr>
          <w:rFonts w:hint="eastAsia" w:ascii="Times New Roman" w:hAnsi="Times New Roman"/>
          <w:szCs w:val="21"/>
        </w:rPr>
        <w:t>在</w:t>
      </w:r>
      <w:r>
        <w:rPr>
          <w:rFonts w:ascii="Times New Roman" w:hAnsi="Times New Roman"/>
          <w:szCs w:val="21"/>
        </w:rPr>
        <w:t>符合国家及福建省厦门市政策</w:t>
      </w:r>
      <w:r>
        <w:rPr>
          <w:rFonts w:hint="eastAsia" w:ascii="Times New Roman" w:hAnsi="Times New Roman"/>
          <w:szCs w:val="21"/>
        </w:rPr>
        <w:t>的基础上，更</w:t>
      </w:r>
      <w:r>
        <w:rPr>
          <w:rFonts w:ascii="Times New Roman" w:hAnsi="Times New Roman"/>
          <w:szCs w:val="21"/>
        </w:rPr>
        <w:t>符合我校师生发展需求的更为科学的课程计划。</w:t>
      </w:r>
    </w:p>
    <w:sectPr>
      <w:headerReference r:id="rId3" w:type="default"/>
      <w:footerReference r:id="rId4" w:type="default"/>
      <w:pgSz w:w="11906" w:h="16838"/>
      <w:pgMar w:top="1417" w:right="158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9</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459355" cy="330200"/>
          <wp:effectExtent l="0" t="0" r="0" b="0"/>
          <wp:docPr id="13" name="图片 13" descr="Macintosh HD:Users:luqiubo_geely:Library:Containers:com.tencent.xinWeChat:Data:Library:Application Support:Wechat:1.2:3050d63c1c74f6b917ad9755805bab9a:Message:MessageTemp:9e20f478899dc29eb19741386f9343c8:Image:WeChat_1566031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Macintosh HD:Users:luqiubo_geely:Library:Containers:com.tencent.xinWeChat:Data:Library:Application Support:Wechat:1.2:3050d63c1c74f6b917ad9755805bab9a:Message:MessageTemp:9e20f478899dc29eb19741386f9343c8:Image:WeChat_156603178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7123" cy="331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93778"/>
    <w:multiLevelType w:val="multilevel"/>
    <w:tmpl w:val="0A0937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4A6FC4"/>
    <w:multiLevelType w:val="multilevel"/>
    <w:tmpl w:val="0A4A6FC4"/>
    <w:lvl w:ilvl="0" w:tentative="0">
      <w:start w:val="1"/>
      <w:numFmt w:val="bullet"/>
      <w:lvlText w:val=""/>
      <w:lvlJc w:val="left"/>
      <w:pPr>
        <w:ind w:left="480" w:hanging="480"/>
      </w:pPr>
      <w:rPr>
        <w:rFonts w:hint="default" w:ascii="Symbol" w:hAnsi="Symbol"/>
        <w:color w:val="auto"/>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13305E48"/>
    <w:multiLevelType w:val="multilevel"/>
    <w:tmpl w:val="13305E48"/>
    <w:lvl w:ilvl="0" w:tentative="0">
      <w:start w:val="1"/>
      <w:numFmt w:val="bullet"/>
      <w:lvlText w:val=""/>
      <w:lvlJc w:val="left"/>
      <w:pPr>
        <w:ind w:left="900" w:hanging="480"/>
      </w:pPr>
      <w:rPr>
        <w:rFonts w:hint="default" w:ascii="Symbol" w:hAnsi="Symbol"/>
        <w:color w:val="auto"/>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3">
    <w:nsid w:val="18B74F5A"/>
    <w:multiLevelType w:val="multilevel"/>
    <w:tmpl w:val="18B74F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B7F01D3"/>
    <w:multiLevelType w:val="multilevel"/>
    <w:tmpl w:val="1B7F01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886746"/>
    <w:multiLevelType w:val="multilevel"/>
    <w:tmpl w:val="228867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0F789F"/>
    <w:multiLevelType w:val="multilevel"/>
    <w:tmpl w:val="630F789F"/>
    <w:lvl w:ilvl="0" w:tentative="0">
      <w:start w:val="1"/>
      <w:numFmt w:val="decimal"/>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4Njk4ZTY5MTBmNzkyYjA3YTJkMjc5ZTAzOWMwYjQifQ=="/>
  </w:docVars>
  <w:rsids>
    <w:rsidRoot w:val="009B6DA0"/>
    <w:rsid w:val="0001774C"/>
    <w:rsid w:val="00061093"/>
    <w:rsid w:val="000763C1"/>
    <w:rsid w:val="0008493C"/>
    <w:rsid w:val="0009143F"/>
    <w:rsid w:val="000941F5"/>
    <w:rsid w:val="000B2CE5"/>
    <w:rsid w:val="000B64D3"/>
    <w:rsid w:val="000D0D2E"/>
    <w:rsid w:val="000F6780"/>
    <w:rsid w:val="000F7989"/>
    <w:rsid w:val="00110B8F"/>
    <w:rsid w:val="00111693"/>
    <w:rsid w:val="0013584A"/>
    <w:rsid w:val="00142543"/>
    <w:rsid w:val="001530D5"/>
    <w:rsid w:val="00161381"/>
    <w:rsid w:val="001620DE"/>
    <w:rsid w:val="001625E7"/>
    <w:rsid w:val="00186D4B"/>
    <w:rsid w:val="00195153"/>
    <w:rsid w:val="001958E9"/>
    <w:rsid w:val="001A32FB"/>
    <w:rsid w:val="001A3B4A"/>
    <w:rsid w:val="001B563D"/>
    <w:rsid w:val="001B5E96"/>
    <w:rsid w:val="001B64D9"/>
    <w:rsid w:val="001D4898"/>
    <w:rsid w:val="001D5367"/>
    <w:rsid w:val="001E07C2"/>
    <w:rsid w:val="001E20AD"/>
    <w:rsid w:val="001E454C"/>
    <w:rsid w:val="001E511C"/>
    <w:rsid w:val="001F17B3"/>
    <w:rsid w:val="001F58D9"/>
    <w:rsid w:val="001F5AD8"/>
    <w:rsid w:val="00203FB0"/>
    <w:rsid w:val="00222A29"/>
    <w:rsid w:val="00225504"/>
    <w:rsid w:val="00235B60"/>
    <w:rsid w:val="00241E73"/>
    <w:rsid w:val="00242831"/>
    <w:rsid w:val="00254889"/>
    <w:rsid w:val="002720E5"/>
    <w:rsid w:val="002752E5"/>
    <w:rsid w:val="002850C7"/>
    <w:rsid w:val="002852B3"/>
    <w:rsid w:val="00285D9A"/>
    <w:rsid w:val="002860FE"/>
    <w:rsid w:val="002873BB"/>
    <w:rsid w:val="002B7C32"/>
    <w:rsid w:val="002D7481"/>
    <w:rsid w:val="002E0D9D"/>
    <w:rsid w:val="002E2DB0"/>
    <w:rsid w:val="002E7B30"/>
    <w:rsid w:val="002F6709"/>
    <w:rsid w:val="002F7643"/>
    <w:rsid w:val="00301C33"/>
    <w:rsid w:val="00303F14"/>
    <w:rsid w:val="00317BFE"/>
    <w:rsid w:val="00333273"/>
    <w:rsid w:val="00333CDB"/>
    <w:rsid w:val="00334CFA"/>
    <w:rsid w:val="00335F72"/>
    <w:rsid w:val="0033713A"/>
    <w:rsid w:val="00341EA8"/>
    <w:rsid w:val="003461B6"/>
    <w:rsid w:val="003534B2"/>
    <w:rsid w:val="00355321"/>
    <w:rsid w:val="00361B28"/>
    <w:rsid w:val="00371856"/>
    <w:rsid w:val="00374C7C"/>
    <w:rsid w:val="00376245"/>
    <w:rsid w:val="00376F3E"/>
    <w:rsid w:val="00380BEE"/>
    <w:rsid w:val="003827D5"/>
    <w:rsid w:val="00384647"/>
    <w:rsid w:val="003A5838"/>
    <w:rsid w:val="003B21F0"/>
    <w:rsid w:val="003B322D"/>
    <w:rsid w:val="003B45F7"/>
    <w:rsid w:val="003B5E52"/>
    <w:rsid w:val="003C3F0C"/>
    <w:rsid w:val="003D02E2"/>
    <w:rsid w:val="003D635C"/>
    <w:rsid w:val="003E2F5F"/>
    <w:rsid w:val="003E7607"/>
    <w:rsid w:val="00400F2A"/>
    <w:rsid w:val="0042740B"/>
    <w:rsid w:val="00440B80"/>
    <w:rsid w:val="00440BB3"/>
    <w:rsid w:val="00441D82"/>
    <w:rsid w:val="00451824"/>
    <w:rsid w:val="0045469F"/>
    <w:rsid w:val="00460CE5"/>
    <w:rsid w:val="004634F9"/>
    <w:rsid w:val="00473301"/>
    <w:rsid w:val="00474850"/>
    <w:rsid w:val="00477A60"/>
    <w:rsid w:val="0049166C"/>
    <w:rsid w:val="00494A33"/>
    <w:rsid w:val="004B1D2F"/>
    <w:rsid w:val="004B55EA"/>
    <w:rsid w:val="004B5834"/>
    <w:rsid w:val="004C26C3"/>
    <w:rsid w:val="004D28B9"/>
    <w:rsid w:val="004D5BBF"/>
    <w:rsid w:val="004E4985"/>
    <w:rsid w:val="004E7EEF"/>
    <w:rsid w:val="004F4154"/>
    <w:rsid w:val="004F4FC8"/>
    <w:rsid w:val="004F507B"/>
    <w:rsid w:val="005062E2"/>
    <w:rsid w:val="00507141"/>
    <w:rsid w:val="00510302"/>
    <w:rsid w:val="00523DAA"/>
    <w:rsid w:val="00533D27"/>
    <w:rsid w:val="00541A36"/>
    <w:rsid w:val="00543EFD"/>
    <w:rsid w:val="00547BF0"/>
    <w:rsid w:val="00551BE7"/>
    <w:rsid w:val="00581F2F"/>
    <w:rsid w:val="00582D1C"/>
    <w:rsid w:val="0059150E"/>
    <w:rsid w:val="005917E8"/>
    <w:rsid w:val="00593FFB"/>
    <w:rsid w:val="005A0BD0"/>
    <w:rsid w:val="005A1835"/>
    <w:rsid w:val="005A77E4"/>
    <w:rsid w:val="005B2B02"/>
    <w:rsid w:val="005B408B"/>
    <w:rsid w:val="005B603C"/>
    <w:rsid w:val="005C5089"/>
    <w:rsid w:val="005D3355"/>
    <w:rsid w:val="005E0E56"/>
    <w:rsid w:val="005E4820"/>
    <w:rsid w:val="005E4CCA"/>
    <w:rsid w:val="005F694F"/>
    <w:rsid w:val="00606213"/>
    <w:rsid w:val="00617C5F"/>
    <w:rsid w:val="00630897"/>
    <w:rsid w:val="00637D80"/>
    <w:rsid w:val="00655153"/>
    <w:rsid w:val="0066714D"/>
    <w:rsid w:val="006747E6"/>
    <w:rsid w:val="00683801"/>
    <w:rsid w:val="006954F9"/>
    <w:rsid w:val="00696A81"/>
    <w:rsid w:val="006A0350"/>
    <w:rsid w:val="006A599C"/>
    <w:rsid w:val="006B211F"/>
    <w:rsid w:val="006B3DF6"/>
    <w:rsid w:val="006C21DB"/>
    <w:rsid w:val="006D55BD"/>
    <w:rsid w:val="006D5D45"/>
    <w:rsid w:val="006F02B1"/>
    <w:rsid w:val="006F5AAB"/>
    <w:rsid w:val="006F5C60"/>
    <w:rsid w:val="00700DE3"/>
    <w:rsid w:val="007016BE"/>
    <w:rsid w:val="007115C9"/>
    <w:rsid w:val="00711D15"/>
    <w:rsid w:val="00722781"/>
    <w:rsid w:val="00727C8F"/>
    <w:rsid w:val="00731DBF"/>
    <w:rsid w:val="00734F4C"/>
    <w:rsid w:val="00736096"/>
    <w:rsid w:val="00736664"/>
    <w:rsid w:val="007367D2"/>
    <w:rsid w:val="00745225"/>
    <w:rsid w:val="00746A35"/>
    <w:rsid w:val="00750593"/>
    <w:rsid w:val="00752767"/>
    <w:rsid w:val="00760C7F"/>
    <w:rsid w:val="00777043"/>
    <w:rsid w:val="00780CAF"/>
    <w:rsid w:val="007A1656"/>
    <w:rsid w:val="007B7E9E"/>
    <w:rsid w:val="007C4155"/>
    <w:rsid w:val="007C5551"/>
    <w:rsid w:val="007C6631"/>
    <w:rsid w:val="007D2216"/>
    <w:rsid w:val="007F1ACA"/>
    <w:rsid w:val="008135C2"/>
    <w:rsid w:val="00826B53"/>
    <w:rsid w:val="00835F7C"/>
    <w:rsid w:val="008417AF"/>
    <w:rsid w:val="0085084B"/>
    <w:rsid w:val="008525AD"/>
    <w:rsid w:val="008537D1"/>
    <w:rsid w:val="0086168B"/>
    <w:rsid w:val="00861E2E"/>
    <w:rsid w:val="008761E1"/>
    <w:rsid w:val="00876DB8"/>
    <w:rsid w:val="00893BFC"/>
    <w:rsid w:val="008A1400"/>
    <w:rsid w:val="008A5136"/>
    <w:rsid w:val="008C22E9"/>
    <w:rsid w:val="008D04F9"/>
    <w:rsid w:val="008D18D8"/>
    <w:rsid w:val="008D2F42"/>
    <w:rsid w:val="008E039D"/>
    <w:rsid w:val="008E3111"/>
    <w:rsid w:val="00910DC9"/>
    <w:rsid w:val="00914C23"/>
    <w:rsid w:val="0092560F"/>
    <w:rsid w:val="009356BF"/>
    <w:rsid w:val="00942157"/>
    <w:rsid w:val="00945230"/>
    <w:rsid w:val="009479AC"/>
    <w:rsid w:val="00955C33"/>
    <w:rsid w:val="009575D4"/>
    <w:rsid w:val="009804EF"/>
    <w:rsid w:val="00980F05"/>
    <w:rsid w:val="009812B4"/>
    <w:rsid w:val="0099063B"/>
    <w:rsid w:val="00997C4A"/>
    <w:rsid w:val="009A2B9E"/>
    <w:rsid w:val="009A3321"/>
    <w:rsid w:val="009A5969"/>
    <w:rsid w:val="009B25CA"/>
    <w:rsid w:val="009B692C"/>
    <w:rsid w:val="009B6DA0"/>
    <w:rsid w:val="009C05BA"/>
    <w:rsid w:val="009D1EEA"/>
    <w:rsid w:val="009E29BB"/>
    <w:rsid w:val="009E7DE3"/>
    <w:rsid w:val="00A140B5"/>
    <w:rsid w:val="00A144DC"/>
    <w:rsid w:val="00A153E2"/>
    <w:rsid w:val="00A17A74"/>
    <w:rsid w:val="00A32D5E"/>
    <w:rsid w:val="00A334A2"/>
    <w:rsid w:val="00A45B1E"/>
    <w:rsid w:val="00A4668A"/>
    <w:rsid w:val="00A552C1"/>
    <w:rsid w:val="00A552ED"/>
    <w:rsid w:val="00A66495"/>
    <w:rsid w:val="00A67DF8"/>
    <w:rsid w:val="00A87B3F"/>
    <w:rsid w:val="00A91D68"/>
    <w:rsid w:val="00A92F29"/>
    <w:rsid w:val="00A97779"/>
    <w:rsid w:val="00AA0B9E"/>
    <w:rsid w:val="00AA47DD"/>
    <w:rsid w:val="00AB21C2"/>
    <w:rsid w:val="00AC7F3A"/>
    <w:rsid w:val="00B03C51"/>
    <w:rsid w:val="00B051E9"/>
    <w:rsid w:val="00B253D7"/>
    <w:rsid w:val="00B26EB3"/>
    <w:rsid w:val="00B362A2"/>
    <w:rsid w:val="00B439DE"/>
    <w:rsid w:val="00B43B9A"/>
    <w:rsid w:val="00B47FEA"/>
    <w:rsid w:val="00B608ED"/>
    <w:rsid w:val="00B67F75"/>
    <w:rsid w:val="00B70052"/>
    <w:rsid w:val="00B75557"/>
    <w:rsid w:val="00B8038F"/>
    <w:rsid w:val="00BA24F3"/>
    <w:rsid w:val="00BA5F00"/>
    <w:rsid w:val="00BB0355"/>
    <w:rsid w:val="00BB15AA"/>
    <w:rsid w:val="00BB2B09"/>
    <w:rsid w:val="00BB5561"/>
    <w:rsid w:val="00BC2533"/>
    <w:rsid w:val="00BC644C"/>
    <w:rsid w:val="00C12579"/>
    <w:rsid w:val="00C13A81"/>
    <w:rsid w:val="00C264A0"/>
    <w:rsid w:val="00C35337"/>
    <w:rsid w:val="00C56E14"/>
    <w:rsid w:val="00C76715"/>
    <w:rsid w:val="00C805BD"/>
    <w:rsid w:val="00C83FC6"/>
    <w:rsid w:val="00C93480"/>
    <w:rsid w:val="00C9508A"/>
    <w:rsid w:val="00CA109C"/>
    <w:rsid w:val="00CA25CA"/>
    <w:rsid w:val="00CA3C06"/>
    <w:rsid w:val="00CA44C1"/>
    <w:rsid w:val="00CA5E38"/>
    <w:rsid w:val="00CB102D"/>
    <w:rsid w:val="00CB78CF"/>
    <w:rsid w:val="00CC1B36"/>
    <w:rsid w:val="00CC3447"/>
    <w:rsid w:val="00CD16A0"/>
    <w:rsid w:val="00CD6F7C"/>
    <w:rsid w:val="00CD7669"/>
    <w:rsid w:val="00CE5F84"/>
    <w:rsid w:val="00CF4B0B"/>
    <w:rsid w:val="00D050BE"/>
    <w:rsid w:val="00D11794"/>
    <w:rsid w:val="00D17AE7"/>
    <w:rsid w:val="00D221F2"/>
    <w:rsid w:val="00D27D16"/>
    <w:rsid w:val="00D30CF6"/>
    <w:rsid w:val="00D323DE"/>
    <w:rsid w:val="00D3510B"/>
    <w:rsid w:val="00D36C54"/>
    <w:rsid w:val="00D40599"/>
    <w:rsid w:val="00D40F63"/>
    <w:rsid w:val="00D455D5"/>
    <w:rsid w:val="00D472F9"/>
    <w:rsid w:val="00D50223"/>
    <w:rsid w:val="00D50256"/>
    <w:rsid w:val="00D618A7"/>
    <w:rsid w:val="00D73A36"/>
    <w:rsid w:val="00D74F49"/>
    <w:rsid w:val="00D81627"/>
    <w:rsid w:val="00DA0B8F"/>
    <w:rsid w:val="00DA6425"/>
    <w:rsid w:val="00DD1F2C"/>
    <w:rsid w:val="00DE0FAD"/>
    <w:rsid w:val="00DE1CE5"/>
    <w:rsid w:val="00E001B8"/>
    <w:rsid w:val="00E105BB"/>
    <w:rsid w:val="00E1212A"/>
    <w:rsid w:val="00E1374E"/>
    <w:rsid w:val="00E20585"/>
    <w:rsid w:val="00E2238E"/>
    <w:rsid w:val="00E27290"/>
    <w:rsid w:val="00E27920"/>
    <w:rsid w:val="00E32BA3"/>
    <w:rsid w:val="00E36B30"/>
    <w:rsid w:val="00E53F00"/>
    <w:rsid w:val="00E73D52"/>
    <w:rsid w:val="00E822BB"/>
    <w:rsid w:val="00E82A48"/>
    <w:rsid w:val="00E84A89"/>
    <w:rsid w:val="00E869C1"/>
    <w:rsid w:val="00E927A6"/>
    <w:rsid w:val="00E950B0"/>
    <w:rsid w:val="00E953AF"/>
    <w:rsid w:val="00E9661F"/>
    <w:rsid w:val="00E97EB6"/>
    <w:rsid w:val="00EB5854"/>
    <w:rsid w:val="00EC3593"/>
    <w:rsid w:val="00ED0EF8"/>
    <w:rsid w:val="00ED10FB"/>
    <w:rsid w:val="00ED5292"/>
    <w:rsid w:val="00EF1AB7"/>
    <w:rsid w:val="00EF3698"/>
    <w:rsid w:val="00F01093"/>
    <w:rsid w:val="00F10907"/>
    <w:rsid w:val="00F149C9"/>
    <w:rsid w:val="00F15587"/>
    <w:rsid w:val="00F160C2"/>
    <w:rsid w:val="00F20FAD"/>
    <w:rsid w:val="00F3123F"/>
    <w:rsid w:val="00F530B4"/>
    <w:rsid w:val="00F536C3"/>
    <w:rsid w:val="00F63F3D"/>
    <w:rsid w:val="00F71359"/>
    <w:rsid w:val="00F75B1E"/>
    <w:rsid w:val="00F815E2"/>
    <w:rsid w:val="00F853D9"/>
    <w:rsid w:val="00F91657"/>
    <w:rsid w:val="00F960E7"/>
    <w:rsid w:val="00FA02EE"/>
    <w:rsid w:val="00FA74AD"/>
    <w:rsid w:val="00FB1F1C"/>
    <w:rsid w:val="00FC0E4D"/>
    <w:rsid w:val="00FC2912"/>
    <w:rsid w:val="00FC4CE4"/>
    <w:rsid w:val="00FC69FC"/>
    <w:rsid w:val="05E2325E"/>
    <w:rsid w:val="09EB3554"/>
    <w:rsid w:val="20456D6D"/>
    <w:rsid w:val="32432FFF"/>
    <w:rsid w:val="3B9412DD"/>
    <w:rsid w:val="3BD60B62"/>
    <w:rsid w:val="45477330"/>
    <w:rsid w:val="59B5737A"/>
    <w:rsid w:val="5ECE3019"/>
    <w:rsid w:val="63590FCB"/>
    <w:rsid w:val="690E3E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6"/>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6"/>
    <w:basedOn w:val="7"/>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0">
    <w:name w:val="Light Grid Accent 6"/>
    <w:basedOn w:val="7"/>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character" w:customStyle="1" w:styleId="12">
    <w:name w:val="批注框文本 字符"/>
    <w:link w:val="3"/>
    <w:semiHidden/>
    <w:uiPriority w:val="99"/>
    <w:rPr>
      <w:sz w:val="18"/>
      <w:szCs w:val="18"/>
    </w:rPr>
  </w:style>
  <w:style w:type="character" w:customStyle="1" w:styleId="13">
    <w:name w:val="页脚 字符"/>
    <w:link w:val="4"/>
    <w:uiPriority w:val="99"/>
    <w:rPr>
      <w:sz w:val="18"/>
      <w:szCs w:val="18"/>
    </w:rPr>
  </w:style>
  <w:style w:type="character" w:customStyle="1" w:styleId="14">
    <w:name w:val="页眉 字符"/>
    <w:link w:val="5"/>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3 字符"/>
    <w:link w:val="2"/>
    <w:qFormat/>
    <w:uiPriority w:val="0"/>
    <w:rPr>
      <w:rFonts w:ascii="宋体" w:hAnsi="宋体"/>
      <w:b/>
      <w:sz w:val="27"/>
      <w:szCs w:val="27"/>
    </w:rPr>
  </w:style>
  <w:style w:type="character" w:customStyle="1" w:styleId="17">
    <w:name w:val="apple-style-span"/>
    <w:qFormat/>
    <w:uiPriority w:val="0"/>
  </w:style>
  <w:style w:type="table" w:customStyle="1" w:styleId="18">
    <w:name w:val="网格型1"/>
    <w:basedOn w:val="7"/>
    <w:qFormat/>
    <w:uiPriority w:val="39"/>
    <w:rPr>
      <w:rFonts w:ascii="等线" w:hAnsi="等线" w:eastAsia="等线"/>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emf"/><Relationship Id="rId30" Type="http://schemas.microsoft.com/office/2007/relationships/diagramDrawing" Target="diagrams/drawing5.xml"/><Relationship Id="rId3" Type="http://schemas.openxmlformats.org/officeDocument/2006/relationships/header" Target="header1.xml"/><Relationship Id="rId29" Type="http://schemas.openxmlformats.org/officeDocument/2006/relationships/diagramColors" Target="diagrams/colors5.xml"/><Relationship Id="rId28" Type="http://schemas.openxmlformats.org/officeDocument/2006/relationships/diagramQuickStyle" Target="diagrams/quickStyle5.xml"/><Relationship Id="rId27" Type="http://schemas.openxmlformats.org/officeDocument/2006/relationships/diagramLayout" Target="diagrams/layout5.xml"/><Relationship Id="rId26" Type="http://schemas.openxmlformats.org/officeDocument/2006/relationships/diagramData" Target="diagrams/data5.xml"/><Relationship Id="rId25" Type="http://schemas.microsoft.com/office/2007/relationships/diagramDrawing" Target="diagrams/drawing4.xml"/><Relationship Id="rId24" Type="http://schemas.openxmlformats.org/officeDocument/2006/relationships/diagramColors" Target="diagrams/colors4.xml"/><Relationship Id="rId23" Type="http://schemas.openxmlformats.org/officeDocument/2006/relationships/diagramQuickStyle" Target="diagrams/quickStyle4.xml"/><Relationship Id="rId22" Type="http://schemas.openxmlformats.org/officeDocument/2006/relationships/diagramLayout" Target="diagrams/layout4.xml"/><Relationship Id="rId21" Type="http://schemas.openxmlformats.org/officeDocument/2006/relationships/diagramData" Target="diagrams/data4.xml"/><Relationship Id="rId20" Type="http://schemas.microsoft.com/office/2007/relationships/diagramDrawing" Target="diagrams/drawing3.xml"/><Relationship Id="rId2" Type="http://schemas.openxmlformats.org/officeDocument/2006/relationships/settings" Target="settings.xml"/><Relationship Id="rId19" Type="http://schemas.openxmlformats.org/officeDocument/2006/relationships/diagramColors" Target="diagrams/colors3.xml"/><Relationship Id="rId18" Type="http://schemas.openxmlformats.org/officeDocument/2006/relationships/diagramQuickStyle" Target="diagrams/quickStyle3.xml"/><Relationship Id="rId17" Type="http://schemas.openxmlformats.org/officeDocument/2006/relationships/diagramLayout" Target="diagrams/layout3.xml"/><Relationship Id="rId16" Type="http://schemas.openxmlformats.org/officeDocument/2006/relationships/diagramData" Target="diagrams/data3.xml"/><Relationship Id="rId15" Type="http://schemas.microsoft.com/office/2007/relationships/diagramDrawing" Target="diagrams/drawing2.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AE15F0C-308A-458E-BB4A-15330723FF36}" type="doc">
      <dgm:prSet loTypeId="urn:microsoft.com/office/officeart/2005/8/layout/hierarchy1" loCatId="hierarchy" qsTypeId="urn:microsoft.com/office/officeart/2005/8/quickstyle/simple1" qsCatId="simple" csTypeId="urn:microsoft.com/office/officeart/2005/8/colors/accent1_2" csCatId="accent1" phldr="1"/>
      <dgm:spPr/>
      <dgm:t>
        <a:bodyPr/>
        <a:p>
          <a:endParaRPr lang="zh-CN" altLang="en-US"/>
        </a:p>
      </dgm:t>
    </dgm:pt>
    <dgm:pt modelId="{AB8D3C53-1BAD-4828-89A2-46F984574343}">
      <dgm:prSet phldrT="[文本]" custT="1"/>
      <dgm:spPr/>
      <dgm:t>
        <a:bodyPr/>
        <a:p>
          <a:r>
            <a:rPr lang="zh-CN" altLang="en-US" sz="1000"/>
            <a:t>必修课程</a:t>
          </a:r>
          <a:r>
            <a:rPr lang="en-US" altLang="zh-CN" sz="1000"/>
            <a:t>1</a:t>
          </a:r>
          <a:endParaRPr lang="zh-CN" altLang="en-US" sz="1000"/>
        </a:p>
      </dgm:t>
    </dgm:pt>
    <dgm:pt modelId="{9B2537E3-B2BB-4A25-AD85-1CE75C1D9100}" cxnId="{CDD4693B-D50D-4999-8D3F-6E843E60A7B6}" type="parTrans">
      <dgm:prSet/>
      <dgm:spPr/>
      <dgm:t>
        <a:bodyPr/>
        <a:p>
          <a:endParaRPr lang="zh-CN" altLang="en-US" sz="1000"/>
        </a:p>
      </dgm:t>
    </dgm:pt>
    <dgm:pt modelId="{7D3DB6B3-E6ED-434A-98E2-E6AFAAB5A3A2}" cxnId="{CDD4693B-D50D-4999-8D3F-6E843E60A7B6}" type="sibTrans">
      <dgm:prSet/>
      <dgm:spPr/>
      <dgm:t>
        <a:bodyPr/>
        <a:p>
          <a:endParaRPr lang="zh-CN" altLang="en-US" sz="1000"/>
        </a:p>
      </dgm:t>
    </dgm:pt>
    <dgm:pt modelId="{9C7E01FE-8B1A-4E4D-ACCD-5D0E6D7EABF0}">
      <dgm:prSet phldrT="[文本]" custT="1"/>
      <dgm:spPr/>
      <dgm:t>
        <a:bodyPr/>
        <a:p>
          <a:r>
            <a:rPr lang="zh-CN" altLang="en-US" sz="1000"/>
            <a:t>国家基础课程</a:t>
          </a:r>
        </a:p>
        <a:p>
          <a:r>
            <a:rPr lang="zh-CN" altLang="en-US" sz="1000"/>
            <a:t>双语理科课程</a:t>
          </a:r>
        </a:p>
        <a:p>
          <a:endParaRPr lang="en-US" altLang="zh-CN" sz="1000"/>
        </a:p>
      </dgm:t>
    </dgm:pt>
    <dgm:pt modelId="{19B84742-DA78-4935-80D7-2DC379890E36}" cxnId="{DB7BAF49-6D09-47FF-9AD6-70D1FDE71BD2}" type="parTrans">
      <dgm:prSet/>
      <dgm:spPr/>
      <dgm:t>
        <a:bodyPr/>
        <a:p>
          <a:endParaRPr lang="zh-CN" altLang="en-US" sz="1000"/>
        </a:p>
      </dgm:t>
    </dgm:pt>
    <dgm:pt modelId="{75EEE2EF-E0B6-46B3-9020-0C49663AE492}" cxnId="{DB7BAF49-6D09-47FF-9AD6-70D1FDE71BD2}" type="sibTrans">
      <dgm:prSet/>
      <dgm:spPr/>
      <dgm:t>
        <a:bodyPr/>
        <a:p>
          <a:endParaRPr lang="zh-CN" altLang="en-US" sz="1000"/>
        </a:p>
      </dgm:t>
    </dgm:pt>
    <dgm:pt modelId="{4E86F7F1-686F-42C6-87BE-C6737A380BFB}">
      <dgm:prSet phldrT="[文本]" custT="1"/>
      <dgm:spPr/>
      <dgm:t>
        <a:bodyPr/>
        <a:p>
          <a:r>
            <a:rPr lang="zh-CN" altLang="en-US" sz="1000"/>
            <a:t> 必修课程</a:t>
          </a:r>
          <a:r>
            <a:rPr lang="en-US" altLang="zh-CN" sz="1000"/>
            <a:t>2</a:t>
          </a:r>
          <a:r>
            <a:rPr lang="zh-CN" altLang="en-US" sz="1000"/>
            <a:t> </a:t>
          </a:r>
        </a:p>
      </dgm:t>
    </dgm:pt>
    <dgm:pt modelId="{D7824C0B-1A81-42C6-BD75-1D0800C0E3B4}" cxnId="{C02D07A7-CDA0-42DF-AE00-96E53E32822C}" type="parTrans">
      <dgm:prSet/>
      <dgm:spPr/>
      <dgm:t>
        <a:bodyPr/>
        <a:p>
          <a:endParaRPr lang="zh-CN" altLang="en-US" sz="1000"/>
        </a:p>
      </dgm:t>
    </dgm:pt>
    <dgm:pt modelId="{416B207F-9FA1-4D76-8216-032740771105}" cxnId="{C02D07A7-CDA0-42DF-AE00-96E53E32822C}" type="sibTrans">
      <dgm:prSet/>
      <dgm:spPr/>
      <dgm:t>
        <a:bodyPr/>
        <a:p>
          <a:endParaRPr lang="zh-CN" altLang="en-US" sz="1000"/>
        </a:p>
      </dgm:t>
    </dgm:pt>
    <dgm:pt modelId="{8F6BC438-E55A-430D-AFBB-92A9F00E86AA}">
      <dgm:prSet phldrT="[文本]" custT="1"/>
      <dgm:spPr/>
      <dgm:t>
        <a:bodyPr/>
        <a:p>
          <a:r>
            <a:rPr lang="zh-CN" altLang="en-US" sz="1000"/>
            <a:t>选课</a:t>
          </a:r>
          <a:r>
            <a:rPr lang="en-US" altLang="zh-CN" sz="1000"/>
            <a:t>I</a:t>
          </a:r>
        </a:p>
      </dgm:t>
    </dgm:pt>
    <dgm:pt modelId="{4D605AFD-663B-4F87-A581-431D7FA0EF86}" cxnId="{4287166F-6B92-48D1-89CB-8B96A8C809C3}" type="parTrans">
      <dgm:prSet/>
      <dgm:spPr/>
      <dgm:t>
        <a:bodyPr/>
        <a:p>
          <a:endParaRPr lang="zh-CN" altLang="en-US" sz="1000"/>
        </a:p>
      </dgm:t>
    </dgm:pt>
    <dgm:pt modelId="{3E7079F6-2AA7-45E2-A084-F1A72D2358BA}" cxnId="{4287166F-6B92-48D1-89CB-8B96A8C809C3}" type="sibTrans">
      <dgm:prSet/>
      <dgm:spPr/>
      <dgm:t>
        <a:bodyPr/>
        <a:p>
          <a:endParaRPr lang="zh-CN" altLang="en-US" sz="1000"/>
        </a:p>
      </dgm:t>
    </dgm:pt>
    <dgm:pt modelId="{FCFB6F24-8993-46C4-B424-6C7462529E0E}">
      <dgm:prSet custT="1"/>
      <dgm:spPr/>
      <dgm:t>
        <a:bodyPr/>
        <a:p>
          <a:r>
            <a:rPr lang="zh-CN" altLang="en-US" sz="1000"/>
            <a:t>选修课程</a:t>
          </a:r>
          <a:r>
            <a:rPr lang="en-US" altLang="zh-CN" sz="1000"/>
            <a:t>2</a:t>
          </a:r>
          <a:r>
            <a:rPr lang="zh-CN" altLang="en-US" sz="1000"/>
            <a:t> 校本课程</a:t>
          </a:r>
        </a:p>
        <a:p>
          <a:r>
            <a:rPr lang="zh-CN" altLang="en-US" sz="1000"/>
            <a:t>（升学指导、研究性学习、社区实践与社会服务、德育课程）</a:t>
          </a:r>
          <a:endParaRPr lang="en-US" altLang="zh-CN" sz="1000"/>
        </a:p>
        <a:p>
          <a:endParaRPr lang="zh-CN" altLang="en-US" sz="1000"/>
        </a:p>
      </dgm:t>
    </dgm:pt>
    <dgm:pt modelId="{BD8C1CA9-2FDE-4075-8333-206D1ACDD79F}" cxnId="{F1F9119C-7A19-44B9-A7C6-7EF435284A60}" type="parTrans">
      <dgm:prSet/>
      <dgm:spPr/>
      <dgm:t>
        <a:bodyPr/>
        <a:p>
          <a:endParaRPr lang="zh-CN" altLang="en-US" sz="1000"/>
        </a:p>
      </dgm:t>
    </dgm:pt>
    <dgm:pt modelId="{B18483F5-0C30-44CA-85EC-88236BA7231F}" cxnId="{F1F9119C-7A19-44B9-A7C6-7EF435284A60}" type="sibTrans">
      <dgm:prSet/>
      <dgm:spPr/>
      <dgm:t>
        <a:bodyPr/>
        <a:p>
          <a:endParaRPr lang="zh-CN" altLang="en-US" sz="1000"/>
        </a:p>
      </dgm:t>
    </dgm:pt>
    <dgm:pt modelId="{9473BC67-968B-4DE5-A94A-CC3FF045EA6A}">
      <dgm:prSet custT="1"/>
      <dgm:spPr/>
      <dgm:t>
        <a:bodyPr/>
        <a:p>
          <a:r>
            <a:rPr lang="zh-CN" altLang="en-US" sz="1000"/>
            <a:t>选课</a:t>
          </a:r>
          <a:r>
            <a:rPr lang="en-US" altLang="zh-CN" sz="1000"/>
            <a:t>2</a:t>
          </a:r>
        </a:p>
      </dgm:t>
    </dgm:pt>
    <dgm:pt modelId="{BCDA48E4-CF4D-4E7E-BCC1-7259AE27A774}" cxnId="{82A09C12-4D8C-4B3B-8E4A-81F015CCCFD1}" type="parTrans">
      <dgm:prSet/>
      <dgm:spPr/>
      <dgm:t>
        <a:bodyPr/>
        <a:p>
          <a:endParaRPr lang="zh-CN" altLang="en-US" sz="1000"/>
        </a:p>
      </dgm:t>
    </dgm:pt>
    <dgm:pt modelId="{4DA47400-BF17-45D0-BCEB-94897A59F946}" cxnId="{82A09C12-4D8C-4B3B-8E4A-81F015CCCFD1}" type="sibTrans">
      <dgm:prSet/>
      <dgm:spPr/>
      <dgm:t>
        <a:bodyPr/>
        <a:p>
          <a:endParaRPr lang="zh-CN" altLang="en-US" sz="1000"/>
        </a:p>
      </dgm:t>
    </dgm:pt>
    <dgm:pt modelId="{94297B7C-1568-42F4-AB7A-C915E94041C9}">
      <dgm:prSet phldrT="[文本]" custT="1"/>
      <dgm:spPr/>
      <dgm:t>
        <a:bodyPr/>
        <a:p>
          <a:r>
            <a:rPr lang="zh-CN" altLang="en-US" sz="1000"/>
            <a:t>厦门市国贸协和双语高中课程</a:t>
          </a:r>
        </a:p>
      </dgm:t>
    </dgm:pt>
    <dgm:pt modelId="{03936870-8E74-4CB2-BE13-7FCCC6BCC925}" cxnId="{832EA337-EE78-4C04-9116-6438BBF3801D}" type="sibTrans">
      <dgm:prSet/>
      <dgm:spPr/>
      <dgm:t>
        <a:bodyPr/>
        <a:p>
          <a:endParaRPr lang="zh-CN" altLang="en-US" sz="1000"/>
        </a:p>
      </dgm:t>
    </dgm:pt>
    <dgm:pt modelId="{8A72D66F-E146-493B-B350-8FD856D728CD}" cxnId="{832EA337-EE78-4C04-9116-6438BBF3801D}" type="parTrans">
      <dgm:prSet/>
      <dgm:spPr/>
      <dgm:t>
        <a:bodyPr/>
        <a:p>
          <a:endParaRPr lang="zh-CN" altLang="en-US" sz="1000"/>
        </a:p>
      </dgm:t>
    </dgm:pt>
    <dgm:pt modelId="{D344344C-2111-465C-BDDC-9C4A03337A32}" type="pres">
      <dgm:prSet presAssocID="{BAE15F0C-308A-458E-BB4A-15330723FF36}" presName="hierChild1" presStyleCnt="0">
        <dgm:presLayoutVars>
          <dgm:chPref val="1"/>
          <dgm:dir/>
          <dgm:animOne val="branch"/>
          <dgm:animLvl val="lvl"/>
          <dgm:resizeHandles/>
        </dgm:presLayoutVars>
      </dgm:prSet>
      <dgm:spPr/>
      <dgm:t>
        <a:bodyPr/>
        <a:p>
          <a:endParaRPr lang="zh-CN" altLang="en-US"/>
        </a:p>
      </dgm:t>
    </dgm:pt>
    <dgm:pt modelId="{AAD6D429-F676-442B-A174-525322A6E5F8}" type="pres">
      <dgm:prSet presAssocID="{94297B7C-1568-42F4-AB7A-C915E94041C9}" presName="hierRoot1" presStyleCnt="0"/>
      <dgm:spPr/>
    </dgm:pt>
    <dgm:pt modelId="{2DE14395-3B6D-4204-8210-3FBC0305507D}" type="pres">
      <dgm:prSet presAssocID="{94297B7C-1568-42F4-AB7A-C915E94041C9}" presName="composite" presStyleCnt="0"/>
      <dgm:spPr/>
    </dgm:pt>
    <dgm:pt modelId="{79475490-A900-4E73-A210-94368ACAC88F}" type="pres">
      <dgm:prSet presAssocID="{94297B7C-1568-42F4-AB7A-C915E94041C9}" presName="background" presStyleLbl="node0" presStyleIdx="0" presStyleCnt="1"/>
      <dgm:spPr/>
    </dgm:pt>
    <dgm:pt modelId="{E83FB16B-2E72-4BB7-8E8D-7DF53A000A77}" type="pres">
      <dgm:prSet presAssocID="{94297B7C-1568-42F4-AB7A-C915E94041C9}" presName="text" presStyleLbl="fgAcc0" presStyleIdx="0" presStyleCnt="1" custScaleX="269507" custScaleY="50647">
        <dgm:presLayoutVars>
          <dgm:chPref val="3"/>
        </dgm:presLayoutVars>
      </dgm:prSet>
      <dgm:spPr/>
      <dgm:t>
        <a:bodyPr/>
        <a:p>
          <a:endParaRPr lang="zh-CN" altLang="en-US"/>
        </a:p>
      </dgm:t>
    </dgm:pt>
    <dgm:pt modelId="{10BB8F6E-68AA-4F20-8E14-D77C6C0D8E9A}" type="pres">
      <dgm:prSet presAssocID="{94297B7C-1568-42F4-AB7A-C915E94041C9}" presName="hierChild2" presStyleCnt="0"/>
      <dgm:spPr/>
    </dgm:pt>
    <dgm:pt modelId="{09CEC0EC-314F-4B36-AD6C-92BF1CFDFAE8}" type="pres">
      <dgm:prSet presAssocID="{9B2537E3-B2BB-4A25-AD85-1CE75C1D9100}" presName="Name10" presStyleLbl="parChTrans1D2" presStyleIdx="0" presStyleCnt="3"/>
      <dgm:spPr/>
      <dgm:t>
        <a:bodyPr/>
        <a:p>
          <a:endParaRPr lang="zh-CN" altLang="en-US"/>
        </a:p>
      </dgm:t>
    </dgm:pt>
    <dgm:pt modelId="{F1021348-AA29-4702-986E-1E9C3C2236B1}" type="pres">
      <dgm:prSet presAssocID="{AB8D3C53-1BAD-4828-89A2-46F984574343}" presName="hierRoot2" presStyleCnt="0"/>
      <dgm:spPr/>
    </dgm:pt>
    <dgm:pt modelId="{591C1152-A4DB-4D02-814B-5DC68FF5E029}" type="pres">
      <dgm:prSet presAssocID="{AB8D3C53-1BAD-4828-89A2-46F984574343}" presName="composite2" presStyleCnt="0"/>
      <dgm:spPr/>
    </dgm:pt>
    <dgm:pt modelId="{DC4A16A5-8718-4341-A135-3AB6D59FBB71}" type="pres">
      <dgm:prSet presAssocID="{AB8D3C53-1BAD-4828-89A2-46F984574343}" presName="background2" presStyleLbl="node2" presStyleIdx="0" presStyleCnt="3"/>
      <dgm:spPr/>
      <dgm:t>
        <a:bodyPr/>
        <a:p>
          <a:endParaRPr lang="zh-CN" altLang="en-US"/>
        </a:p>
      </dgm:t>
    </dgm:pt>
    <dgm:pt modelId="{86C44B34-A88D-4833-9835-640111E4D004}" type="pres">
      <dgm:prSet presAssocID="{AB8D3C53-1BAD-4828-89A2-46F984574343}" presName="text2" presStyleLbl="fgAcc2" presStyleIdx="0" presStyleCnt="3" custScaleX="141109" custScaleY="47686">
        <dgm:presLayoutVars>
          <dgm:chPref val="3"/>
        </dgm:presLayoutVars>
      </dgm:prSet>
      <dgm:spPr/>
      <dgm:t>
        <a:bodyPr/>
        <a:p>
          <a:endParaRPr lang="zh-CN" altLang="en-US"/>
        </a:p>
      </dgm:t>
    </dgm:pt>
    <dgm:pt modelId="{168BAF71-57CF-4B4B-9E11-CA6D370BBCB2}" type="pres">
      <dgm:prSet presAssocID="{AB8D3C53-1BAD-4828-89A2-46F984574343}" presName="hierChild3" presStyleCnt="0"/>
      <dgm:spPr/>
    </dgm:pt>
    <dgm:pt modelId="{1B822B5F-7650-497C-80A3-83AAD1B684C1}" type="pres">
      <dgm:prSet presAssocID="{19B84742-DA78-4935-80D7-2DC379890E36}" presName="Name17" presStyleLbl="parChTrans1D3" presStyleIdx="0" presStyleCnt="3"/>
      <dgm:spPr/>
      <dgm:t>
        <a:bodyPr/>
        <a:p>
          <a:endParaRPr lang="zh-CN" altLang="en-US"/>
        </a:p>
      </dgm:t>
    </dgm:pt>
    <dgm:pt modelId="{DBD95871-8128-4539-AC2D-AD467D53A3CE}" type="pres">
      <dgm:prSet presAssocID="{9C7E01FE-8B1A-4E4D-ACCD-5D0E6D7EABF0}" presName="hierRoot3" presStyleCnt="0"/>
      <dgm:spPr/>
    </dgm:pt>
    <dgm:pt modelId="{5D3A72EF-2E9D-415A-ACEE-80679B1B5D36}" type="pres">
      <dgm:prSet presAssocID="{9C7E01FE-8B1A-4E4D-ACCD-5D0E6D7EABF0}" presName="composite3" presStyleCnt="0"/>
      <dgm:spPr/>
    </dgm:pt>
    <dgm:pt modelId="{FA6934DC-5121-4BAE-B1A0-081DBE0F7147}" type="pres">
      <dgm:prSet presAssocID="{9C7E01FE-8B1A-4E4D-ACCD-5D0E6D7EABF0}" presName="background3" presStyleLbl="node3" presStyleIdx="0" presStyleCnt="3"/>
      <dgm:spPr/>
    </dgm:pt>
    <dgm:pt modelId="{B9F436CC-7B38-437E-9C19-95351EC86A14}" type="pres">
      <dgm:prSet presAssocID="{9C7E01FE-8B1A-4E4D-ACCD-5D0E6D7EABF0}" presName="text3" presStyleLbl="fgAcc3" presStyleIdx="0" presStyleCnt="3" custScaleX="134502" custScaleY="172791" custLinFactY="75278" custLinFactNeighborX="-11325" custLinFactNeighborY="100000">
        <dgm:presLayoutVars>
          <dgm:chPref val="3"/>
        </dgm:presLayoutVars>
      </dgm:prSet>
      <dgm:spPr/>
      <dgm:t>
        <a:bodyPr/>
        <a:p>
          <a:endParaRPr lang="zh-CN" altLang="en-US"/>
        </a:p>
      </dgm:t>
    </dgm:pt>
    <dgm:pt modelId="{E8E6C524-075A-40F0-85F0-8566CA863453}" type="pres">
      <dgm:prSet presAssocID="{9C7E01FE-8B1A-4E4D-ACCD-5D0E6D7EABF0}" presName="hierChild4" presStyleCnt="0"/>
      <dgm:spPr/>
    </dgm:pt>
    <dgm:pt modelId="{70DB1061-DA92-4D8C-BD51-AFC461A39D1F}" type="pres">
      <dgm:prSet presAssocID="{D7824C0B-1A81-42C6-BD75-1D0800C0E3B4}" presName="Name10" presStyleLbl="parChTrans1D2" presStyleIdx="1" presStyleCnt="3"/>
      <dgm:spPr/>
      <dgm:t>
        <a:bodyPr/>
        <a:p>
          <a:endParaRPr lang="zh-CN" altLang="en-US"/>
        </a:p>
      </dgm:t>
    </dgm:pt>
    <dgm:pt modelId="{A59CBD11-AE48-46B0-BFB1-0DD0983E5EC9}" type="pres">
      <dgm:prSet presAssocID="{4E86F7F1-686F-42C6-87BE-C6737A380BFB}" presName="hierRoot2" presStyleCnt="0"/>
      <dgm:spPr/>
    </dgm:pt>
    <dgm:pt modelId="{F4A79A7E-0ABF-4D83-8657-D21D6A47A478}" type="pres">
      <dgm:prSet presAssocID="{4E86F7F1-686F-42C6-87BE-C6737A380BFB}" presName="composite2" presStyleCnt="0"/>
      <dgm:spPr/>
    </dgm:pt>
    <dgm:pt modelId="{37063F74-C41E-4086-BF75-79721E8FEF56}" type="pres">
      <dgm:prSet presAssocID="{4E86F7F1-686F-42C6-87BE-C6737A380BFB}" presName="background2" presStyleLbl="node2" presStyleIdx="1" presStyleCnt="3"/>
      <dgm:spPr/>
    </dgm:pt>
    <dgm:pt modelId="{3C50B9D1-3981-4C57-B3A2-A2C17F1753F1}" type="pres">
      <dgm:prSet presAssocID="{4E86F7F1-686F-42C6-87BE-C6737A380BFB}" presName="text2" presStyleLbl="fgAcc2" presStyleIdx="1" presStyleCnt="3" custScaleX="131250" custScaleY="41657" custLinFactNeighborX="-69654" custLinFactNeighborY="13946">
        <dgm:presLayoutVars>
          <dgm:chPref val="3"/>
        </dgm:presLayoutVars>
      </dgm:prSet>
      <dgm:spPr/>
      <dgm:t>
        <a:bodyPr/>
        <a:p>
          <a:endParaRPr lang="zh-CN" altLang="en-US"/>
        </a:p>
      </dgm:t>
    </dgm:pt>
    <dgm:pt modelId="{76903AA2-A83C-4641-946A-64609A612BB1}" type="pres">
      <dgm:prSet presAssocID="{4E86F7F1-686F-42C6-87BE-C6737A380BFB}" presName="hierChild3" presStyleCnt="0"/>
      <dgm:spPr/>
    </dgm:pt>
    <dgm:pt modelId="{3189C7E7-5376-4DBB-8288-06AE8D890817}" type="pres">
      <dgm:prSet presAssocID="{4D605AFD-663B-4F87-A581-431D7FA0EF86}" presName="Name17" presStyleLbl="parChTrans1D3" presStyleIdx="1" presStyleCnt="3"/>
      <dgm:spPr/>
      <dgm:t>
        <a:bodyPr/>
        <a:p>
          <a:endParaRPr lang="zh-CN" altLang="en-US"/>
        </a:p>
      </dgm:t>
    </dgm:pt>
    <dgm:pt modelId="{E7DA2BB6-31C9-4A80-9AB3-68B5E9DB4729}" type="pres">
      <dgm:prSet presAssocID="{8F6BC438-E55A-430D-AFBB-92A9F00E86AA}" presName="hierRoot3" presStyleCnt="0"/>
      <dgm:spPr/>
    </dgm:pt>
    <dgm:pt modelId="{3C2636D0-4404-468B-A35B-50765575E950}" type="pres">
      <dgm:prSet presAssocID="{8F6BC438-E55A-430D-AFBB-92A9F00E86AA}" presName="composite3" presStyleCnt="0"/>
      <dgm:spPr/>
    </dgm:pt>
    <dgm:pt modelId="{01B01B93-57E1-4EE3-83DC-B222273CDC7B}" type="pres">
      <dgm:prSet presAssocID="{8F6BC438-E55A-430D-AFBB-92A9F00E86AA}" presName="background3" presStyleLbl="node3" presStyleIdx="1" presStyleCnt="3"/>
      <dgm:spPr/>
      <dgm:t>
        <a:bodyPr/>
        <a:p>
          <a:endParaRPr lang="zh-CN" altLang="en-US"/>
        </a:p>
      </dgm:t>
    </dgm:pt>
    <dgm:pt modelId="{A3995EBC-B5AC-440B-BBB0-EAB211560EB1}" type="pres">
      <dgm:prSet presAssocID="{8F6BC438-E55A-430D-AFBB-92A9F00E86AA}" presName="text3" presStyleLbl="fgAcc3" presStyleIdx="1" presStyleCnt="3" custScaleX="131058" custScaleY="99667" custLinFactNeighborX="-18230" custLinFactNeighborY="61412">
        <dgm:presLayoutVars>
          <dgm:chPref val="3"/>
        </dgm:presLayoutVars>
      </dgm:prSet>
      <dgm:spPr/>
      <dgm:t>
        <a:bodyPr/>
        <a:p>
          <a:endParaRPr lang="zh-CN" altLang="en-US"/>
        </a:p>
      </dgm:t>
    </dgm:pt>
    <dgm:pt modelId="{A7459ECC-F786-4633-B860-24C6DECE72E2}" type="pres">
      <dgm:prSet presAssocID="{8F6BC438-E55A-430D-AFBB-92A9F00E86AA}" presName="hierChild4" presStyleCnt="0"/>
      <dgm:spPr/>
    </dgm:pt>
    <dgm:pt modelId="{C924290A-B2A3-491F-93B6-C7BEA1998E91}" type="pres">
      <dgm:prSet presAssocID="{BCDA48E4-CF4D-4E7E-BCC1-7259AE27A774}" presName="Name17" presStyleLbl="parChTrans1D3" presStyleIdx="2" presStyleCnt="3"/>
      <dgm:spPr/>
      <dgm:t>
        <a:bodyPr/>
        <a:p>
          <a:endParaRPr lang="zh-CN" altLang="en-US"/>
        </a:p>
      </dgm:t>
    </dgm:pt>
    <dgm:pt modelId="{25B1F07D-5ACC-4B41-B3AB-F8E8E70546B0}" type="pres">
      <dgm:prSet presAssocID="{9473BC67-968B-4DE5-A94A-CC3FF045EA6A}" presName="hierRoot3" presStyleCnt="0"/>
      <dgm:spPr/>
    </dgm:pt>
    <dgm:pt modelId="{435CC923-91FC-4CF2-A8B7-74B0BB13632C}" type="pres">
      <dgm:prSet presAssocID="{9473BC67-968B-4DE5-A94A-CC3FF045EA6A}" presName="composite3" presStyleCnt="0"/>
      <dgm:spPr/>
    </dgm:pt>
    <dgm:pt modelId="{D521534C-C91B-487D-B108-C801D47B726B}" type="pres">
      <dgm:prSet presAssocID="{9473BC67-968B-4DE5-A94A-CC3FF045EA6A}" presName="background3" presStyleLbl="node3" presStyleIdx="2" presStyleCnt="3"/>
      <dgm:spPr/>
    </dgm:pt>
    <dgm:pt modelId="{89725447-4460-4CD3-96A9-D7E93020D5BD}" type="pres">
      <dgm:prSet presAssocID="{9473BC67-968B-4DE5-A94A-CC3FF045EA6A}" presName="text3" presStyleLbl="fgAcc3" presStyleIdx="2" presStyleCnt="3" custScaleX="153288" custScaleY="84397" custLinFactNeighborX="-4595" custLinFactNeighborY="59552">
        <dgm:presLayoutVars>
          <dgm:chPref val="3"/>
        </dgm:presLayoutVars>
      </dgm:prSet>
      <dgm:spPr/>
      <dgm:t>
        <a:bodyPr/>
        <a:p>
          <a:endParaRPr lang="zh-CN" altLang="en-US"/>
        </a:p>
      </dgm:t>
    </dgm:pt>
    <dgm:pt modelId="{E9A5A8CC-1CA8-4B5A-9D3C-6F6772361AED}" type="pres">
      <dgm:prSet presAssocID="{9473BC67-968B-4DE5-A94A-CC3FF045EA6A}" presName="hierChild4" presStyleCnt="0"/>
      <dgm:spPr/>
    </dgm:pt>
    <dgm:pt modelId="{9F3A08B6-8064-461E-8246-B9A2A9FED7B1}" type="pres">
      <dgm:prSet presAssocID="{BD8C1CA9-2FDE-4075-8333-206D1ACDD79F}" presName="Name10" presStyleLbl="parChTrans1D2" presStyleIdx="2" presStyleCnt="3"/>
      <dgm:spPr/>
      <dgm:t>
        <a:bodyPr/>
        <a:p>
          <a:endParaRPr lang="zh-CN" altLang="en-US"/>
        </a:p>
      </dgm:t>
    </dgm:pt>
    <dgm:pt modelId="{B0971233-3248-4C80-9D82-24A070A9808E}" type="pres">
      <dgm:prSet presAssocID="{FCFB6F24-8993-46C4-B424-6C7462529E0E}" presName="hierRoot2" presStyleCnt="0"/>
      <dgm:spPr/>
    </dgm:pt>
    <dgm:pt modelId="{85C6C476-4FCA-4C86-A83D-91450BE95769}" type="pres">
      <dgm:prSet presAssocID="{FCFB6F24-8993-46C4-B424-6C7462529E0E}" presName="composite2" presStyleCnt="0"/>
      <dgm:spPr/>
    </dgm:pt>
    <dgm:pt modelId="{B30ED488-1951-4F4C-BC70-2D2070899C77}" type="pres">
      <dgm:prSet presAssocID="{FCFB6F24-8993-46C4-B424-6C7462529E0E}" presName="background2" presStyleLbl="node2" presStyleIdx="2" presStyleCnt="3"/>
      <dgm:spPr/>
    </dgm:pt>
    <dgm:pt modelId="{90AEB7D8-DFCF-464A-9156-E2F7FF9A77AC}" type="pres">
      <dgm:prSet presAssocID="{FCFB6F24-8993-46C4-B424-6C7462529E0E}" presName="text2" presStyleLbl="fgAcc2" presStyleIdx="2" presStyleCnt="3" custScaleX="221915" custScaleY="242872" custLinFactNeighborY="9991">
        <dgm:presLayoutVars>
          <dgm:chPref val="3"/>
        </dgm:presLayoutVars>
      </dgm:prSet>
      <dgm:spPr/>
      <dgm:t>
        <a:bodyPr/>
        <a:p>
          <a:endParaRPr lang="zh-CN" altLang="en-US"/>
        </a:p>
      </dgm:t>
    </dgm:pt>
    <dgm:pt modelId="{2CD21AC2-7194-4D28-AFFF-4F7E801A3754}" type="pres">
      <dgm:prSet presAssocID="{FCFB6F24-8993-46C4-B424-6C7462529E0E}" presName="hierChild3" presStyleCnt="0"/>
      <dgm:spPr/>
    </dgm:pt>
  </dgm:ptLst>
  <dgm:cxnLst>
    <dgm:cxn modelId="{DB7BAF49-6D09-47FF-9AD6-70D1FDE71BD2}" srcId="{AB8D3C53-1BAD-4828-89A2-46F984574343}" destId="{9C7E01FE-8B1A-4E4D-ACCD-5D0E6D7EABF0}" srcOrd="0" destOrd="0" parTransId="{19B84742-DA78-4935-80D7-2DC379890E36}" sibTransId="{75EEE2EF-E0B6-46B3-9020-0C49663AE492}"/>
    <dgm:cxn modelId="{062237F8-B75C-A446-A19E-94A34200B723}" type="presOf" srcId="{AB8D3C53-1BAD-4828-89A2-46F984574343}" destId="{86C44B34-A88D-4833-9835-640111E4D004}" srcOrd="0" destOrd="0" presId="urn:microsoft.com/office/officeart/2005/8/layout/hierarchy1"/>
    <dgm:cxn modelId="{32FD0D39-E5DA-A540-AD99-13BFF8ED671A}" type="presOf" srcId="{BD8C1CA9-2FDE-4075-8333-206D1ACDD79F}" destId="{9F3A08B6-8064-461E-8246-B9A2A9FED7B1}" srcOrd="0" destOrd="0" presId="urn:microsoft.com/office/officeart/2005/8/layout/hierarchy1"/>
    <dgm:cxn modelId="{C02D07A7-CDA0-42DF-AE00-96E53E32822C}" srcId="{94297B7C-1568-42F4-AB7A-C915E94041C9}" destId="{4E86F7F1-686F-42C6-87BE-C6737A380BFB}" srcOrd="1" destOrd="0" parTransId="{D7824C0B-1A81-42C6-BD75-1D0800C0E3B4}" sibTransId="{416B207F-9FA1-4D76-8216-032740771105}"/>
    <dgm:cxn modelId="{219F01DA-E13B-3041-8A50-63DC6733453C}" type="presOf" srcId="{9C7E01FE-8B1A-4E4D-ACCD-5D0E6D7EABF0}" destId="{B9F436CC-7B38-437E-9C19-95351EC86A14}" srcOrd="0" destOrd="0" presId="urn:microsoft.com/office/officeart/2005/8/layout/hierarchy1"/>
    <dgm:cxn modelId="{4C6734AF-2341-4744-9502-3E4FB005A8CF}" type="presOf" srcId="{4E86F7F1-686F-42C6-87BE-C6737A380BFB}" destId="{3C50B9D1-3981-4C57-B3A2-A2C17F1753F1}" srcOrd="0" destOrd="0" presId="urn:microsoft.com/office/officeart/2005/8/layout/hierarchy1"/>
    <dgm:cxn modelId="{832EA337-EE78-4C04-9116-6438BBF3801D}" srcId="{BAE15F0C-308A-458E-BB4A-15330723FF36}" destId="{94297B7C-1568-42F4-AB7A-C915E94041C9}" srcOrd="0" destOrd="0" parTransId="{8A72D66F-E146-493B-B350-8FD856D728CD}" sibTransId="{03936870-8E74-4CB2-BE13-7FCCC6BCC925}"/>
    <dgm:cxn modelId="{D8BABB3F-6D7C-ED42-BCB4-1E68A69A6FE1}" type="presOf" srcId="{9B2537E3-B2BB-4A25-AD85-1CE75C1D9100}" destId="{09CEC0EC-314F-4B36-AD6C-92BF1CFDFAE8}" srcOrd="0" destOrd="0" presId="urn:microsoft.com/office/officeart/2005/8/layout/hierarchy1"/>
    <dgm:cxn modelId="{4287166F-6B92-48D1-89CB-8B96A8C809C3}" srcId="{4E86F7F1-686F-42C6-87BE-C6737A380BFB}" destId="{8F6BC438-E55A-430D-AFBB-92A9F00E86AA}" srcOrd="0" destOrd="0" parTransId="{4D605AFD-663B-4F87-A581-431D7FA0EF86}" sibTransId="{3E7079F6-2AA7-45E2-A084-F1A72D2358BA}"/>
    <dgm:cxn modelId="{62897040-8B4A-2F4E-84F3-36ABB6765035}" type="presOf" srcId="{D7824C0B-1A81-42C6-BD75-1D0800C0E3B4}" destId="{70DB1061-DA92-4D8C-BD51-AFC461A39D1F}" srcOrd="0" destOrd="0" presId="urn:microsoft.com/office/officeart/2005/8/layout/hierarchy1"/>
    <dgm:cxn modelId="{00BB2EC8-67E7-ED48-A618-BC88950E1635}" type="presOf" srcId="{4D605AFD-663B-4F87-A581-431D7FA0EF86}" destId="{3189C7E7-5376-4DBB-8288-06AE8D890817}" srcOrd="0" destOrd="0" presId="urn:microsoft.com/office/officeart/2005/8/layout/hierarchy1"/>
    <dgm:cxn modelId="{861D34F3-AA7B-394B-95C5-5E562EECB4DA}" type="presOf" srcId="{19B84742-DA78-4935-80D7-2DC379890E36}" destId="{1B822B5F-7650-497C-80A3-83AAD1B684C1}" srcOrd="0" destOrd="0" presId="urn:microsoft.com/office/officeart/2005/8/layout/hierarchy1"/>
    <dgm:cxn modelId="{1312B5C2-2E3E-7F40-BB69-53A542ECDAFF}" type="presOf" srcId="{8F6BC438-E55A-430D-AFBB-92A9F00E86AA}" destId="{A3995EBC-B5AC-440B-BBB0-EAB211560EB1}" srcOrd="0" destOrd="0" presId="urn:microsoft.com/office/officeart/2005/8/layout/hierarchy1"/>
    <dgm:cxn modelId="{5DD97FB7-4346-9B49-A991-6FE08D4FB81C}" type="presOf" srcId="{BAE15F0C-308A-458E-BB4A-15330723FF36}" destId="{D344344C-2111-465C-BDDC-9C4A03337A32}" srcOrd="0" destOrd="0" presId="urn:microsoft.com/office/officeart/2005/8/layout/hierarchy1"/>
    <dgm:cxn modelId="{82A09C12-4D8C-4B3B-8E4A-81F015CCCFD1}" srcId="{4E86F7F1-686F-42C6-87BE-C6737A380BFB}" destId="{9473BC67-968B-4DE5-A94A-CC3FF045EA6A}" srcOrd="1" destOrd="0" parTransId="{BCDA48E4-CF4D-4E7E-BCC1-7259AE27A774}" sibTransId="{4DA47400-BF17-45D0-BCEB-94897A59F946}"/>
    <dgm:cxn modelId="{E5B5B6C9-48D3-414E-AF6B-F52E9BB0D14E}" type="presOf" srcId="{94297B7C-1568-42F4-AB7A-C915E94041C9}" destId="{E83FB16B-2E72-4BB7-8E8D-7DF53A000A77}" srcOrd="0" destOrd="0" presId="urn:microsoft.com/office/officeart/2005/8/layout/hierarchy1"/>
    <dgm:cxn modelId="{CDD4693B-D50D-4999-8D3F-6E843E60A7B6}" srcId="{94297B7C-1568-42F4-AB7A-C915E94041C9}" destId="{AB8D3C53-1BAD-4828-89A2-46F984574343}" srcOrd="0" destOrd="0" parTransId="{9B2537E3-B2BB-4A25-AD85-1CE75C1D9100}" sibTransId="{7D3DB6B3-E6ED-434A-98E2-E6AFAAB5A3A2}"/>
    <dgm:cxn modelId="{D2B7D1D4-AF96-EB46-A871-D3035E7F06A0}" type="presOf" srcId="{BCDA48E4-CF4D-4E7E-BCC1-7259AE27A774}" destId="{C924290A-B2A3-491F-93B6-C7BEA1998E91}" srcOrd="0" destOrd="0" presId="urn:microsoft.com/office/officeart/2005/8/layout/hierarchy1"/>
    <dgm:cxn modelId="{F1F9119C-7A19-44B9-A7C6-7EF435284A60}" srcId="{94297B7C-1568-42F4-AB7A-C915E94041C9}" destId="{FCFB6F24-8993-46C4-B424-6C7462529E0E}" srcOrd="2" destOrd="0" parTransId="{BD8C1CA9-2FDE-4075-8333-206D1ACDD79F}" sibTransId="{B18483F5-0C30-44CA-85EC-88236BA7231F}"/>
    <dgm:cxn modelId="{9FC9BA3F-8A39-D947-9253-2B97E4EE07B4}" type="presOf" srcId="{9473BC67-968B-4DE5-A94A-CC3FF045EA6A}" destId="{89725447-4460-4CD3-96A9-D7E93020D5BD}" srcOrd="0" destOrd="0" presId="urn:microsoft.com/office/officeart/2005/8/layout/hierarchy1"/>
    <dgm:cxn modelId="{8847513A-223D-0849-9838-D70E62C3F018}" type="presOf" srcId="{FCFB6F24-8993-46C4-B424-6C7462529E0E}" destId="{90AEB7D8-DFCF-464A-9156-E2F7FF9A77AC}" srcOrd="0" destOrd="0" presId="urn:microsoft.com/office/officeart/2005/8/layout/hierarchy1"/>
    <dgm:cxn modelId="{6C447C6B-E35F-4445-AC94-85405CB28CCE}" type="presParOf" srcId="{D344344C-2111-465C-BDDC-9C4A03337A32}" destId="{AAD6D429-F676-442B-A174-525322A6E5F8}" srcOrd="0" destOrd="0" presId="urn:microsoft.com/office/officeart/2005/8/layout/hierarchy1"/>
    <dgm:cxn modelId="{6FA2292D-1512-2C41-9BA5-8CE67AFBCEF1}" type="presParOf" srcId="{AAD6D429-F676-442B-A174-525322A6E5F8}" destId="{2DE14395-3B6D-4204-8210-3FBC0305507D}" srcOrd="0" destOrd="0" presId="urn:microsoft.com/office/officeart/2005/8/layout/hierarchy1"/>
    <dgm:cxn modelId="{AA44B4B1-B2B7-C34F-A87A-D358777A9596}" type="presParOf" srcId="{2DE14395-3B6D-4204-8210-3FBC0305507D}" destId="{79475490-A900-4E73-A210-94368ACAC88F}" srcOrd="0" destOrd="0" presId="urn:microsoft.com/office/officeart/2005/8/layout/hierarchy1"/>
    <dgm:cxn modelId="{47F175F8-69CB-F54B-ADA5-B86522828FFA}" type="presParOf" srcId="{2DE14395-3B6D-4204-8210-3FBC0305507D}" destId="{E83FB16B-2E72-4BB7-8E8D-7DF53A000A77}" srcOrd="1" destOrd="0" presId="urn:microsoft.com/office/officeart/2005/8/layout/hierarchy1"/>
    <dgm:cxn modelId="{99FEC24D-C525-E349-BD37-0C8F31EBB028}" type="presParOf" srcId="{AAD6D429-F676-442B-A174-525322A6E5F8}" destId="{10BB8F6E-68AA-4F20-8E14-D77C6C0D8E9A}" srcOrd="1" destOrd="0" presId="urn:microsoft.com/office/officeart/2005/8/layout/hierarchy1"/>
    <dgm:cxn modelId="{28CE4673-8BEA-B94A-9231-31924223C558}" type="presParOf" srcId="{10BB8F6E-68AA-4F20-8E14-D77C6C0D8E9A}" destId="{09CEC0EC-314F-4B36-AD6C-92BF1CFDFAE8}" srcOrd="0" destOrd="0" presId="urn:microsoft.com/office/officeart/2005/8/layout/hierarchy1"/>
    <dgm:cxn modelId="{53B8FD86-663D-3848-BE3D-FC1E881688B9}" type="presParOf" srcId="{10BB8F6E-68AA-4F20-8E14-D77C6C0D8E9A}" destId="{F1021348-AA29-4702-986E-1E9C3C2236B1}" srcOrd="1" destOrd="0" presId="urn:microsoft.com/office/officeart/2005/8/layout/hierarchy1"/>
    <dgm:cxn modelId="{AED2E945-CB70-B842-909C-281CA7C36BF0}" type="presParOf" srcId="{F1021348-AA29-4702-986E-1E9C3C2236B1}" destId="{591C1152-A4DB-4D02-814B-5DC68FF5E029}" srcOrd="0" destOrd="0" presId="urn:microsoft.com/office/officeart/2005/8/layout/hierarchy1"/>
    <dgm:cxn modelId="{D80C9DBF-D628-714B-BF17-87C8E993A050}" type="presParOf" srcId="{591C1152-A4DB-4D02-814B-5DC68FF5E029}" destId="{DC4A16A5-8718-4341-A135-3AB6D59FBB71}" srcOrd="0" destOrd="0" presId="urn:microsoft.com/office/officeart/2005/8/layout/hierarchy1"/>
    <dgm:cxn modelId="{95CFBACB-704B-C943-8498-806440BF997A}" type="presParOf" srcId="{591C1152-A4DB-4D02-814B-5DC68FF5E029}" destId="{86C44B34-A88D-4833-9835-640111E4D004}" srcOrd="1" destOrd="0" presId="urn:microsoft.com/office/officeart/2005/8/layout/hierarchy1"/>
    <dgm:cxn modelId="{F94BDAAE-2AE3-774F-A326-ADB205EC68E6}" type="presParOf" srcId="{F1021348-AA29-4702-986E-1E9C3C2236B1}" destId="{168BAF71-57CF-4B4B-9E11-CA6D370BBCB2}" srcOrd="1" destOrd="0" presId="urn:microsoft.com/office/officeart/2005/8/layout/hierarchy1"/>
    <dgm:cxn modelId="{CA008188-8AF2-9C49-B098-F17DFEA80203}" type="presParOf" srcId="{168BAF71-57CF-4B4B-9E11-CA6D370BBCB2}" destId="{1B822B5F-7650-497C-80A3-83AAD1B684C1}" srcOrd="0" destOrd="0" presId="urn:microsoft.com/office/officeart/2005/8/layout/hierarchy1"/>
    <dgm:cxn modelId="{FB3D914C-C2D7-784E-9590-66A4C0525145}" type="presParOf" srcId="{168BAF71-57CF-4B4B-9E11-CA6D370BBCB2}" destId="{DBD95871-8128-4539-AC2D-AD467D53A3CE}" srcOrd="1" destOrd="0" presId="urn:microsoft.com/office/officeart/2005/8/layout/hierarchy1"/>
    <dgm:cxn modelId="{300AEB3F-C45B-1B43-BE7D-74E24149D343}" type="presParOf" srcId="{DBD95871-8128-4539-AC2D-AD467D53A3CE}" destId="{5D3A72EF-2E9D-415A-ACEE-80679B1B5D36}" srcOrd="0" destOrd="0" presId="urn:microsoft.com/office/officeart/2005/8/layout/hierarchy1"/>
    <dgm:cxn modelId="{DE238A85-4FD6-E54D-BBDC-15069DA6B869}" type="presParOf" srcId="{5D3A72EF-2E9D-415A-ACEE-80679B1B5D36}" destId="{FA6934DC-5121-4BAE-B1A0-081DBE0F7147}" srcOrd="0" destOrd="0" presId="urn:microsoft.com/office/officeart/2005/8/layout/hierarchy1"/>
    <dgm:cxn modelId="{4E4733D6-4A56-AD48-B306-95193FA038D8}" type="presParOf" srcId="{5D3A72EF-2E9D-415A-ACEE-80679B1B5D36}" destId="{B9F436CC-7B38-437E-9C19-95351EC86A14}" srcOrd="1" destOrd="0" presId="urn:microsoft.com/office/officeart/2005/8/layout/hierarchy1"/>
    <dgm:cxn modelId="{35E2D236-36F3-BD4C-90E0-9853C61FB38C}" type="presParOf" srcId="{DBD95871-8128-4539-AC2D-AD467D53A3CE}" destId="{E8E6C524-075A-40F0-85F0-8566CA863453}" srcOrd="1" destOrd="0" presId="urn:microsoft.com/office/officeart/2005/8/layout/hierarchy1"/>
    <dgm:cxn modelId="{58228B0C-0863-1946-8A23-EEFD8F429183}" type="presParOf" srcId="{10BB8F6E-68AA-4F20-8E14-D77C6C0D8E9A}" destId="{70DB1061-DA92-4D8C-BD51-AFC461A39D1F}" srcOrd="2" destOrd="0" presId="urn:microsoft.com/office/officeart/2005/8/layout/hierarchy1"/>
    <dgm:cxn modelId="{E9DDE2A9-463E-0B43-BE35-D3C7E3FE9592}" type="presParOf" srcId="{10BB8F6E-68AA-4F20-8E14-D77C6C0D8E9A}" destId="{A59CBD11-AE48-46B0-BFB1-0DD0983E5EC9}" srcOrd="3" destOrd="0" presId="urn:microsoft.com/office/officeart/2005/8/layout/hierarchy1"/>
    <dgm:cxn modelId="{42305805-252F-E343-9957-D0B85F44E656}" type="presParOf" srcId="{A59CBD11-AE48-46B0-BFB1-0DD0983E5EC9}" destId="{F4A79A7E-0ABF-4D83-8657-D21D6A47A478}" srcOrd="0" destOrd="0" presId="urn:microsoft.com/office/officeart/2005/8/layout/hierarchy1"/>
    <dgm:cxn modelId="{A7E64F12-CAF1-CF4C-953A-61148C637248}" type="presParOf" srcId="{F4A79A7E-0ABF-4D83-8657-D21D6A47A478}" destId="{37063F74-C41E-4086-BF75-79721E8FEF56}" srcOrd="0" destOrd="0" presId="urn:microsoft.com/office/officeart/2005/8/layout/hierarchy1"/>
    <dgm:cxn modelId="{47DC3B59-9947-B54E-843C-5A006879A532}" type="presParOf" srcId="{F4A79A7E-0ABF-4D83-8657-D21D6A47A478}" destId="{3C50B9D1-3981-4C57-B3A2-A2C17F1753F1}" srcOrd="1" destOrd="0" presId="urn:microsoft.com/office/officeart/2005/8/layout/hierarchy1"/>
    <dgm:cxn modelId="{82C0B9D5-5296-5743-A229-E5982DD5DC89}" type="presParOf" srcId="{A59CBD11-AE48-46B0-BFB1-0DD0983E5EC9}" destId="{76903AA2-A83C-4641-946A-64609A612BB1}" srcOrd="1" destOrd="0" presId="urn:microsoft.com/office/officeart/2005/8/layout/hierarchy1"/>
    <dgm:cxn modelId="{FC9EA015-5464-DD4B-8FAD-E6FAA4EBEC3B}" type="presParOf" srcId="{76903AA2-A83C-4641-946A-64609A612BB1}" destId="{3189C7E7-5376-4DBB-8288-06AE8D890817}" srcOrd="0" destOrd="0" presId="urn:microsoft.com/office/officeart/2005/8/layout/hierarchy1"/>
    <dgm:cxn modelId="{C8EAE2A5-2471-EC4F-8263-8EE6D8863E30}" type="presParOf" srcId="{76903AA2-A83C-4641-946A-64609A612BB1}" destId="{E7DA2BB6-31C9-4A80-9AB3-68B5E9DB4729}" srcOrd="1" destOrd="0" presId="urn:microsoft.com/office/officeart/2005/8/layout/hierarchy1"/>
    <dgm:cxn modelId="{4BF01D52-1613-1847-9704-257EB516078B}" type="presParOf" srcId="{E7DA2BB6-31C9-4A80-9AB3-68B5E9DB4729}" destId="{3C2636D0-4404-468B-A35B-50765575E950}" srcOrd="0" destOrd="0" presId="urn:microsoft.com/office/officeart/2005/8/layout/hierarchy1"/>
    <dgm:cxn modelId="{D35CAF34-C1CF-184B-87DB-7BEFD2FBF52C}" type="presParOf" srcId="{3C2636D0-4404-468B-A35B-50765575E950}" destId="{01B01B93-57E1-4EE3-83DC-B222273CDC7B}" srcOrd="0" destOrd="0" presId="urn:microsoft.com/office/officeart/2005/8/layout/hierarchy1"/>
    <dgm:cxn modelId="{05F1D7E2-5820-B44C-B9CC-47398AC004F0}" type="presParOf" srcId="{3C2636D0-4404-468B-A35B-50765575E950}" destId="{A3995EBC-B5AC-440B-BBB0-EAB211560EB1}" srcOrd="1" destOrd="0" presId="urn:microsoft.com/office/officeart/2005/8/layout/hierarchy1"/>
    <dgm:cxn modelId="{362559FF-5562-104E-90B0-D2253E0A0A12}" type="presParOf" srcId="{E7DA2BB6-31C9-4A80-9AB3-68B5E9DB4729}" destId="{A7459ECC-F786-4633-B860-24C6DECE72E2}" srcOrd="1" destOrd="0" presId="urn:microsoft.com/office/officeart/2005/8/layout/hierarchy1"/>
    <dgm:cxn modelId="{E4C68723-092F-5141-A5AA-0F84CDE257D3}" type="presParOf" srcId="{76903AA2-A83C-4641-946A-64609A612BB1}" destId="{C924290A-B2A3-491F-93B6-C7BEA1998E91}" srcOrd="2" destOrd="0" presId="urn:microsoft.com/office/officeart/2005/8/layout/hierarchy1"/>
    <dgm:cxn modelId="{0A131423-048E-6E48-81C1-5D8122DB3075}" type="presParOf" srcId="{76903AA2-A83C-4641-946A-64609A612BB1}" destId="{25B1F07D-5ACC-4B41-B3AB-F8E8E70546B0}" srcOrd="3" destOrd="0" presId="urn:microsoft.com/office/officeart/2005/8/layout/hierarchy1"/>
    <dgm:cxn modelId="{21294F17-C9EB-1442-AF20-9F0E24A244D6}" type="presParOf" srcId="{25B1F07D-5ACC-4B41-B3AB-F8E8E70546B0}" destId="{435CC923-91FC-4CF2-A8B7-74B0BB13632C}" srcOrd="0" destOrd="0" presId="urn:microsoft.com/office/officeart/2005/8/layout/hierarchy1"/>
    <dgm:cxn modelId="{89A18768-D99F-2B48-A79C-FDDED89F136F}" type="presParOf" srcId="{435CC923-91FC-4CF2-A8B7-74B0BB13632C}" destId="{D521534C-C91B-487D-B108-C801D47B726B}" srcOrd="0" destOrd="0" presId="urn:microsoft.com/office/officeart/2005/8/layout/hierarchy1"/>
    <dgm:cxn modelId="{D1D07894-AC46-AE40-A525-185D37350E0E}" type="presParOf" srcId="{435CC923-91FC-4CF2-A8B7-74B0BB13632C}" destId="{89725447-4460-4CD3-96A9-D7E93020D5BD}" srcOrd="1" destOrd="0" presId="urn:microsoft.com/office/officeart/2005/8/layout/hierarchy1"/>
    <dgm:cxn modelId="{FA1DDBFA-16C2-3242-B962-53960B42D7B7}" type="presParOf" srcId="{25B1F07D-5ACC-4B41-B3AB-F8E8E70546B0}" destId="{E9A5A8CC-1CA8-4B5A-9D3C-6F6772361AED}" srcOrd="1" destOrd="0" presId="urn:microsoft.com/office/officeart/2005/8/layout/hierarchy1"/>
    <dgm:cxn modelId="{211082A4-6F96-034E-B69A-016C7D0C3542}" type="presParOf" srcId="{10BB8F6E-68AA-4F20-8E14-D77C6C0D8E9A}" destId="{9F3A08B6-8064-461E-8246-B9A2A9FED7B1}" srcOrd="4" destOrd="0" presId="urn:microsoft.com/office/officeart/2005/8/layout/hierarchy1"/>
    <dgm:cxn modelId="{2B8E0DC4-08FB-E245-9F77-24DB3E4B4D4F}" type="presParOf" srcId="{10BB8F6E-68AA-4F20-8E14-D77C6C0D8E9A}" destId="{B0971233-3248-4C80-9D82-24A070A9808E}" srcOrd="5" destOrd="0" presId="urn:microsoft.com/office/officeart/2005/8/layout/hierarchy1"/>
    <dgm:cxn modelId="{CB459176-120F-B744-A39C-950EAB08906C}" type="presParOf" srcId="{B0971233-3248-4C80-9D82-24A070A9808E}" destId="{85C6C476-4FCA-4C86-A83D-91450BE95769}" srcOrd="0" destOrd="0" presId="urn:microsoft.com/office/officeart/2005/8/layout/hierarchy1"/>
    <dgm:cxn modelId="{D768C38D-4705-1D45-9920-2F58642149DB}" type="presParOf" srcId="{85C6C476-4FCA-4C86-A83D-91450BE95769}" destId="{B30ED488-1951-4F4C-BC70-2D2070899C77}" srcOrd="0" destOrd="0" presId="urn:microsoft.com/office/officeart/2005/8/layout/hierarchy1"/>
    <dgm:cxn modelId="{94B73D40-5BDD-574D-BDD8-567C85937C97}" type="presParOf" srcId="{85C6C476-4FCA-4C86-A83D-91450BE95769}" destId="{90AEB7D8-DFCF-464A-9156-E2F7FF9A77AC}" srcOrd="1" destOrd="0" presId="urn:microsoft.com/office/officeart/2005/8/layout/hierarchy1"/>
    <dgm:cxn modelId="{C4EE81C1-C247-8545-AC05-9B5E27163714}" type="presParOf" srcId="{B0971233-3248-4C80-9D82-24A070A9808E}" destId="{2CD21AC2-7194-4D28-AFFF-4F7E801A3754}"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B889D5-6301-47C0-95E6-E3180731091B}" type="doc">
      <dgm:prSet loTypeId="urn:microsoft.com/office/officeart/2005/8/layout/lProcess2" loCatId="list" qsTypeId="urn:microsoft.com/office/officeart/2005/8/quickstyle/simple2" qsCatId="simple" csTypeId="urn:microsoft.com/office/officeart/2005/8/colors/colorful3" csCatId="colorful" phldr="1"/>
      <dgm:spPr/>
      <dgm:t>
        <a:bodyPr/>
        <a:p>
          <a:endParaRPr lang="zh-CN" altLang="en-US"/>
        </a:p>
      </dgm:t>
    </dgm:pt>
    <dgm:pt modelId="{96C95BFD-3A00-4C1B-82C8-B7EEF4117EAB}">
      <dgm:prSet phldrT="[文本]" custT="1"/>
      <dgm:spPr/>
      <dgm:t>
        <a:bodyPr/>
        <a:p>
          <a:r>
            <a:rPr lang="zh-CN" altLang="en-US" sz="1000"/>
            <a:t>国家基础课程</a:t>
          </a:r>
          <a:r>
            <a:rPr lang="en-US" altLang="zh-CN" sz="1000"/>
            <a:t>-</a:t>
          </a:r>
          <a:r>
            <a:rPr lang="zh-CN" altLang="en-US" sz="1000"/>
            <a:t>人文类</a:t>
          </a:r>
        </a:p>
      </dgm:t>
    </dgm:pt>
    <dgm:pt modelId="{F16FA5A2-F766-4DFF-8124-080FA384DCE5}" cxnId="{9B576910-4FC5-49B0-B7CE-8C469F031DA5}" type="parTrans">
      <dgm:prSet/>
      <dgm:spPr/>
      <dgm:t>
        <a:bodyPr/>
        <a:p>
          <a:endParaRPr lang="zh-CN" altLang="en-US" sz="1000"/>
        </a:p>
      </dgm:t>
    </dgm:pt>
    <dgm:pt modelId="{048E1714-71C9-4568-A2A4-C001172D469D}" cxnId="{9B576910-4FC5-49B0-B7CE-8C469F031DA5}" type="sibTrans">
      <dgm:prSet/>
      <dgm:spPr/>
      <dgm:t>
        <a:bodyPr/>
        <a:p>
          <a:endParaRPr lang="zh-CN" altLang="en-US" sz="1000"/>
        </a:p>
      </dgm:t>
    </dgm:pt>
    <dgm:pt modelId="{9B22BE92-A71F-4E65-AFEB-3F3507CF713F}">
      <dgm:prSet phldrT="[文本]" custT="1"/>
      <dgm:spPr/>
      <dgm:t>
        <a:bodyPr/>
        <a:p>
          <a:r>
            <a:rPr lang="zh-CN" altLang="en-US" sz="1000">
              <a:solidFill>
                <a:srgbClr val="000000"/>
              </a:solidFill>
            </a:rPr>
            <a:t>语文、历史、地理、政治</a:t>
          </a:r>
        </a:p>
      </dgm:t>
    </dgm:pt>
    <dgm:pt modelId="{E0E9ED10-030E-4B86-A5F1-1C2FFE08B3B2}" cxnId="{ECA0EA53-880A-488E-A19D-CD61B5641F58}" type="parTrans">
      <dgm:prSet/>
      <dgm:spPr/>
      <dgm:t>
        <a:bodyPr/>
        <a:p>
          <a:endParaRPr lang="zh-CN" altLang="en-US" sz="1000"/>
        </a:p>
      </dgm:t>
    </dgm:pt>
    <dgm:pt modelId="{845ADC9F-98B2-49FC-BE04-B877CAE65602}" cxnId="{ECA0EA53-880A-488E-A19D-CD61B5641F58}" type="sibTrans">
      <dgm:prSet/>
      <dgm:spPr/>
      <dgm:t>
        <a:bodyPr/>
        <a:p>
          <a:endParaRPr lang="zh-CN" altLang="en-US" sz="1000"/>
        </a:p>
      </dgm:t>
    </dgm:pt>
    <dgm:pt modelId="{06F363BA-40E9-41DD-A1D4-68E36A12F09D}">
      <dgm:prSet phldrT="[文本]" custT="1"/>
      <dgm:spPr/>
      <dgm:t>
        <a:bodyPr/>
        <a:p>
          <a:r>
            <a:rPr lang="zh-CN" altLang="en-US" sz="1000"/>
            <a:t>国家基础课程</a:t>
          </a:r>
          <a:r>
            <a:rPr lang="en-US" altLang="zh-CN" sz="1000"/>
            <a:t>-</a:t>
          </a:r>
          <a:r>
            <a:rPr lang="zh-CN" altLang="en-US" sz="1000"/>
            <a:t>科学类</a:t>
          </a:r>
        </a:p>
      </dgm:t>
    </dgm:pt>
    <dgm:pt modelId="{D6D3915C-4525-4697-928C-12992040DEB1}" cxnId="{FD7274C2-5A2F-4C39-AC14-3024E105C6F7}" type="parTrans">
      <dgm:prSet/>
      <dgm:spPr/>
      <dgm:t>
        <a:bodyPr/>
        <a:p>
          <a:endParaRPr lang="zh-CN" altLang="en-US" sz="1000"/>
        </a:p>
      </dgm:t>
    </dgm:pt>
    <dgm:pt modelId="{03D84121-0B0B-41B0-B2BC-044099160971}" cxnId="{FD7274C2-5A2F-4C39-AC14-3024E105C6F7}" type="sibTrans">
      <dgm:prSet/>
      <dgm:spPr/>
      <dgm:t>
        <a:bodyPr/>
        <a:p>
          <a:endParaRPr lang="zh-CN" altLang="en-US" sz="1000"/>
        </a:p>
      </dgm:t>
    </dgm:pt>
    <dgm:pt modelId="{C39A6E5D-40AD-4595-B56E-E64DDCA6436E}">
      <dgm:prSet phldrT="[文本]" custT="1"/>
      <dgm:spPr/>
      <dgm:t>
        <a:bodyPr/>
        <a:p>
          <a:r>
            <a:rPr lang="zh-CN" altLang="en-US" sz="1000">
              <a:solidFill>
                <a:srgbClr val="000000"/>
              </a:solidFill>
            </a:rPr>
            <a:t>数学、物理、化学、生物</a:t>
          </a:r>
        </a:p>
      </dgm:t>
    </dgm:pt>
    <dgm:pt modelId="{FD67C352-1067-4F9E-AC94-DF86D395C6B2}" cxnId="{DE7D040A-F4F1-4E5E-A428-50CECC0A184A}" type="parTrans">
      <dgm:prSet/>
      <dgm:spPr/>
      <dgm:t>
        <a:bodyPr/>
        <a:p>
          <a:endParaRPr lang="zh-CN" altLang="en-US" sz="1000"/>
        </a:p>
      </dgm:t>
    </dgm:pt>
    <dgm:pt modelId="{917D619D-3B99-4223-8FD3-C91B6FB7D662}" cxnId="{DE7D040A-F4F1-4E5E-A428-50CECC0A184A}" type="sibTrans">
      <dgm:prSet/>
      <dgm:spPr/>
      <dgm:t>
        <a:bodyPr/>
        <a:p>
          <a:endParaRPr lang="zh-CN" altLang="en-US" sz="1000"/>
        </a:p>
      </dgm:t>
    </dgm:pt>
    <dgm:pt modelId="{731F69BE-87EE-4377-AAE2-8DDB018921F8}">
      <dgm:prSet phldrT="[文本]" custT="1"/>
      <dgm:spPr/>
      <dgm:t>
        <a:bodyPr/>
        <a:p>
          <a:r>
            <a:rPr lang="zh-CN" altLang="en-US" sz="1000"/>
            <a:t>国家基础课程</a:t>
          </a:r>
          <a:r>
            <a:rPr lang="en-US" altLang="zh-CN" sz="1000"/>
            <a:t>-</a:t>
          </a:r>
          <a:r>
            <a:rPr lang="zh-CN" altLang="en-US" sz="1000"/>
            <a:t>其他类</a:t>
          </a:r>
        </a:p>
      </dgm:t>
    </dgm:pt>
    <dgm:pt modelId="{13BCF5E6-5704-4B6D-9986-33193BEC5453}" cxnId="{FC5996C2-3CDA-4DA0-BAE4-6C837F347756}" type="parTrans">
      <dgm:prSet/>
      <dgm:spPr/>
      <dgm:t>
        <a:bodyPr/>
        <a:p>
          <a:endParaRPr lang="zh-CN" altLang="en-US" sz="1000"/>
        </a:p>
      </dgm:t>
    </dgm:pt>
    <dgm:pt modelId="{F0A7D91B-B8FC-4164-B637-67BB697ACBA8}" cxnId="{FC5996C2-3CDA-4DA0-BAE4-6C837F347756}" type="sibTrans">
      <dgm:prSet/>
      <dgm:spPr/>
      <dgm:t>
        <a:bodyPr/>
        <a:p>
          <a:endParaRPr lang="zh-CN" altLang="en-US" sz="1000"/>
        </a:p>
      </dgm:t>
    </dgm:pt>
    <dgm:pt modelId="{9ACEE169-B28D-40E7-843C-B70428FBF366}">
      <dgm:prSet phldrT="[文本]" custT="1"/>
      <dgm:spPr/>
      <dgm:t>
        <a:bodyPr/>
        <a:p>
          <a:r>
            <a:rPr lang="zh-CN" altLang="en-US" sz="1000">
              <a:solidFill>
                <a:srgbClr val="000000"/>
              </a:solidFill>
            </a:rPr>
            <a:t>通用科技、信息技术、体育、音乐美术等</a:t>
          </a:r>
        </a:p>
      </dgm:t>
    </dgm:pt>
    <dgm:pt modelId="{0F98D18A-AA67-4311-9AE7-B93007AC6A35}" cxnId="{B8BF85F0-4AF8-4B9C-8E31-2B5149E0446B}" type="parTrans">
      <dgm:prSet/>
      <dgm:spPr/>
      <dgm:t>
        <a:bodyPr/>
        <a:p>
          <a:endParaRPr lang="zh-CN" altLang="en-US" sz="1000"/>
        </a:p>
      </dgm:t>
    </dgm:pt>
    <dgm:pt modelId="{405C6ABD-3381-4E01-8650-FC8A2F37A462}" cxnId="{B8BF85F0-4AF8-4B9C-8E31-2B5149E0446B}" type="sibTrans">
      <dgm:prSet/>
      <dgm:spPr/>
      <dgm:t>
        <a:bodyPr/>
        <a:p>
          <a:endParaRPr lang="zh-CN" altLang="en-US" sz="1000"/>
        </a:p>
      </dgm:t>
    </dgm:pt>
    <dgm:pt modelId="{64D8F0B2-60F3-46CC-A396-3786BC3F7FF3}" type="pres">
      <dgm:prSet presAssocID="{99B889D5-6301-47C0-95E6-E3180731091B}" presName="theList" presStyleCnt="0">
        <dgm:presLayoutVars>
          <dgm:dir/>
          <dgm:animLvl val="lvl"/>
          <dgm:resizeHandles val="exact"/>
        </dgm:presLayoutVars>
      </dgm:prSet>
      <dgm:spPr/>
      <dgm:t>
        <a:bodyPr/>
        <a:p>
          <a:endParaRPr lang="zh-CN" altLang="en-US"/>
        </a:p>
      </dgm:t>
    </dgm:pt>
    <dgm:pt modelId="{A7F18ECF-9337-4988-A54A-1C440ED40E8B}" type="pres">
      <dgm:prSet presAssocID="{96C95BFD-3A00-4C1B-82C8-B7EEF4117EAB}" presName="compNode" presStyleCnt="0"/>
      <dgm:spPr/>
      <dgm:t>
        <a:bodyPr/>
        <a:p>
          <a:endParaRPr lang="zh-CN" altLang="en-US"/>
        </a:p>
      </dgm:t>
    </dgm:pt>
    <dgm:pt modelId="{7EEE35CF-01DC-4249-8E1B-4844918F33D1}" type="pres">
      <dgm:prSet presAssocID="{96C95BFD-3A00-4C1B-82C8-B7EEF4117EAB}" presName="aNode" presStyleLbl="bgShp" presStyleIdx="0" presStyleCnt="3"/>
      <dgm:spPr/>
      <dgm:t>
        <a:bodyPr/>
        <a:p>
          <a:endParaRPr lang="zh-CN" altLang="en-US"/>
        </a:p>
      </dgm:t>
    </dgm:pt>
    <dgm:pt modelId="{DDB366CD-3AAD-4A74-AB73-0FCA0188EDDD}" type="pres">
      <dgm:prSet presAssocID="{96C95BFD-3A00-4C1B-82C8-B7EEF4117EAB}" presName="textNode" presStyleLbl="bgShp" presStyleIdx="0" presStyleCnt="3"/>
      <dgm:spPr/>
      <dgm:t>
        <a:bodyPr/>
        <a:p>
          <a:endParaRPr lang="zh-CN" altLang="en-US"/>
        </a:p>
      </dgm:t>
    </dgm:pt>
    <dgm:pt modelId="{653DCFA6-6532-4DFA-BDAD-20C6547D7AC8}" type="pres">
      <dgm:prSet presAssocID="{96C95BFD-3A00-4C1B-82C8-B7EEF4117EAB}" presName="compChildNode" presStyleCnt="0"/>
      <dgm:spPr/>
      <dgm:t>
        <a:bodyPr/>
        <a:p>
          <a:endParaRPr lang="zh-CN" altLang="en-US"/>
        </a:p>
      </dgm:t>
    </dgm:pt>
    <dgm:pt modelId="{AFCA8428-71BF-42DE-9334-474C6295C42B}" type="pres">
      <dgm:prSet presAssocID="{96C95BFD-3A00-4C1B-82C8-B7EEF4117EAB}" presName="theInnerList" presStyleCnt="0"/>
      <dgm:spPr/>
      <dgm:t>
        <a:bodyPr/>
        <a:p>
          <a:endParaRPr lang="zh-CN" altLang="en-US"/>
        </a:p>
      </dgm:t>
    </dgm:pt>
    <dgm:pt modelId="{DA61FF3A-B7E5-4514-8A62-B265B9C154FD}" type="pres">
      <dgm:prSet presAssocID="{9B22BE92-A71F-4E65-AFEB-3F3507CF713F}" presName="childNode" presStyleLbl="node1" presStyleIdx="0" presStyleCnt="3" custScaleX="119790">
        <dgm:presLayoutVars>
          <dgm:bulletEnabled val="1"/>
        </dgm:presLayoutVars>
      </dgm:prSet>
      <dgm:spPr/>
      <dgm:t>
        <a:bodyPr/>
        <a:p>
          <a:endParaRPr lang="zh-CN" altLang="en-US"/>
        </a:p>
      </dgm:t>
    </dgm:pt>
    <dgm:pt modelId="{8BA72BE6-E8D3-4C95-9C5E-2AD346A4E264}" type="pres">
      <dgm:prSet presAssocID="{96C95BFD-3A00-4C1B-82C8-B7EEF4117EAB}" presName="aSpace" presStyleCnt="0"/>
      <dgm:spPr/>
      <dgm:t>
        <a:bodyPr/>
        <a:p>
          <a:endParaRPr lang="zh-CN" altLang="en-US"/>
        </a:p>
      </dgm:t>
    </dgm:pt>
    <dgm:pt modelId="{9F14924A-5045-4378-8975-460E4D752357}" type="pres">
      <dgm:prSet presAssocID="{06F363BA-40E9-41DD-A1D4-68E36A12F09D}" presName="compNode" presStyleCnt="0"/>
      <dgm:spPr/>
      <dgm:t>
        <a:bodyPr/>
        <a:p>
          <a:endParaRPr lang="zh-CN" altLang="en-US"/>
        </a:p>
      </dgm:t>
    </dgm:pt>
    <dgm:pt modelId="{0D74859E-A81B-471F-9B2A-F373E8A216D2}" type="pres">
      <dgm:prSet presAssocID="{06F363BA-40E9-41DD-A1D4-68E36A12F09D}" presName="aNode" presStyleLbl="bgShp" presStyleIdx="1" presStyleCnt="3"/>
      <dgm:spPr/>
      <dgm:t>
        <a:bodyPr/>
        <a:p>
          <a:endParaRPr lang="zh-CN" altLang="en-US"/>
        </a:p>
      </dgm:t>
    </dgm:pt>
    <dgm:pt modelId="{59D3EB9B-2B7E-40FC-B76F-63FABE582078}" type="pres">
      <dgm:prSet presAssocID="{06F363BA-40E9-41DD-A1D4-68E36A12F09D}" presName="textNode" presStyleLbl="bgShp" presStyleIdx="1" presStyleCnt="3"/>
      <dgm:spPr/>
      <dgm:t>
        <a:bodyPr/>
        <a:p>
          <a:endParaRPr lang="zh-CN" altLang="en-US"/>
        </a:p>
      </dgm:t>
    </dgm:pt>
    <dgm:pt modelId="{39181B22-9C65-4B29-A6E5-45D03055E984}" type="pres">
      <dgm:prSet presAssocID="{06F363BA-40E9-41DD-A1D4-68E36A12F09D}" presName="compChildNode" presStyleCnt="0"/>
      <dgm:spPr/>
      <dgm:t>
        <a:bodyPr/>
        <a:p>
          <a:endParaRPr lang="zh-CN" altLang="en-US"/>
        </a:p>
      </dgm:t>
    </dgm:pt>
    <dgm:pt modelId="{CD24E3DA-C9C7-46F2-BA05-7E32CF354A93}" type="pres">
      <dgm:prSet presAssocID="{06F363BA-40E9-41DD-A1D4-68E36A12F09D}" presName="theInnerList" presStyleCnt="0"/>
      <dgm:spPr/>
      <dgm:t>
        <a:bodyPr/>
        <a:p>
          <a:endParaRPr lang="zh-CN" altLang="en-US"/>
        </a:p>
      </dgm:t>
    </dgm:pt>
    <dgm:pt modelId="{EC9EF7C5-A034-4FB5-91E8-10E4C33BC99E}" type="pres">
      <dgm:prSet presAssocID="{C39A6E5D-40AD-4595-B56E-E64DDCA6436E}" presName="childNode" presStyleLbl="node1" presStyleIdx="1" presStyleCnt="3" custScaleX="113991">
        <dgm:presLayoutVars>
          <dgm:bulletEnabled val="1"/>
        </dgm:presLayoutVars>
      </dgm:prSet>
      <dgm:spPr/>
      <dgm:t>
        <a:bodyPr/>
        <a:p>
          <a:endParaRPr lang="zh-CN" altLang="en-US"/>
        </a:p>
      </dgm:t>
    </dgm:pt>
    <dgm:pt modelId="{0F453D37-611F-4756-8B71-31A1370E5424}" type="pres">
      <dgm:prSet presAssocID="{06F363BA-40E9-41DD-A1D4-68E36A12F09D}" presName="aSpace" presStyleCnt="0"/>
      <dgm:spPr/>
      <dgm:t>
        <a:bodyPr/>
        <a:p>
          <a:endParaRPr lang="zh-CN" altLang="en-US"/>
        </a:p>
      </dgm:t>
    </dgm:pt>
    <dgm:pt modelId="{950CA6CB-9973-4086-8EB5-B40424F4D27A}" type="pres">
      <dgm:prSet presAssocID="{731F69BE-87EE-4377-AAE2-8DDB018921F8}" presName="compNode" presStyleCnt="0"/>
      <dgm:spPr/>
      <dgm:t>
        <a:bodyPr/>
        <a:p>
          <a:endParaRPr lang="zh-CN" altLang="en-US"/>
        </a:p>
      </dgm:t>
    </dgm:pt>
    <dgm:pt modelId="{FDB00A11-328A-4CFC-9C43-B8502C2889D8}" type="pres">
      <dgm:prSet presAssocID="{731F69BE-87EE-4377-AAE2-8DDB018921F8}" presName="aNode" presStyleLbl="bgShp" presStyleIdx="2" presStyleCnt="3"/>
      <dgm:spPr/>
      <dgm:t>
        <a:bodyPr/>
        <a:p>
          <a:endParaRPr lang="zh-CN" altLang="en-US"/>
        </a:p>
      </dgm:t>
    </dgm:pt>
    <dgm:pt modelId="{FDF7918E-3FE8-4BA8-8709-14CF198348AE}" type="pres">
      <dgm:prSet presAssocID="{731F69BE-87EE-4377-AAE2-8DDB018921F8}" presName="textNode" presStyleLbl="bgShp" presStyleIdx="2" presStyleCnt="3"/>
      <dgm:spPr/>
      <dgm:t>
        <a:bodyPr/>
        <a:p>
          <a:endParaRPr lang="zh-CN" altLang="en-US"/>
        </a:p>
      </dgm:t>
    </dgm:pt>
    <dgm:pt modelId="{A229BD80-8247-4425-BE55-DAAAE050F342}" type="pres">
      <dgm:prSet presAssocID="{731F69BE-87EE-4377-AAE2-8DDB018921F8}" presName="compChildNode" presStyleCnt="0"/>
      <dgm:spPr/>
      <dgm:t>
        <a:bodyPr/>
        <a:p>
          <a:endParaRPr lang="zh-CN" altLang="en-US"/>
        </a:p>
      </dgm:t>
    </dgm:pt>
    <dgm:pt modelId="{5CF2279D-DB85-40C7-B5ED-DE0991D15B1F}" type="pres">
      <dgm:prSet presAssocID="{731F69BE-87EE-4377-AAE2-8DDB018921F8}" presName="theInnerList" presStyleCnt="0"/>
      <dgm:spPr/>
      <dgm:t>
        <a:bodyPr/>
        <a:p>
          <a:endParaRPr lang="zh-CN" altLang="en-US"/>
        </a:p>
      </dgm:t>
    </dgm:pt>
    <dgm:pt modelId="{282976CA-2C52-4838-9A2D-00C81E5B1C34}" type="pres">
      <dgm:prSet presAssocID="{9ACEE169-B28D-40E7-843C-B70428FBF366}" presName="childNode" presStyleLbl="node1" presStyleIdx="2" presStyleCnt="3">
        <dgm:presLayoutVars>
          <dgm:bulletEnabled val="1"/>
        </dgm:presLayoutVars>
      </dgm:prSet>
      <dgm:spPr/>
      <dgm:t>
        <a:bodyPr/>
        <a:p>
          <a:endParaRPr lang="zh-CN" altLang="en-US"/>
        </a:p>
      </dgm:t>
    </dgm:pt>
  </dgm:ptLst>
  <dgm:cxnLst>
    <dgm:cxn modelId="{03AC9593-06C8-DF44-AD41-D7EE38D2F49E}" type="presOf" srcId="{9B22BE92-A71F-4E65-AFEB-3F3507CF713F}" destId="{DA61FF3A-B7E5-4514-8A62-B265B9C154FD}" srcOrd="0" destOrd="0" presId="urn:microsoft.com/office/officeart/2005/8/layout/lProcess2"/>
    <dgm:cxn modelId="{9B576910-4FC5-49B0-B7CE-8C469F031DA5}" srcId="{99B889D5-6301-47C0-95E6-E3180731091B}" destId="{96C95BFD-3A00-4C1B-82C8-B7EEF4117EAB}" srcOrd="0" destOrd="0" parTransId="{F16FA5A2-F766-4DFF-8124-080FA384DCE5}" sibTransId="{048E1714-71C9-4568-A2A4-C001172D469D}"/>
    <dgm:cxn modelId="{4891A9CA-E701-C94D-AF22-7FBB2CC2BA31}" type="presOf" srcId="{99B889D5-6301-47C0-95E6-E3180731091B}" destId="{64D8F0B2-60F3-46CC-A396-3786BC3F7FF3}" srcOrd="0" destOrd="0" presId="urn:microsoft.com/office/officeart/2005/8/layout/lProcess2"/>
    <dgm:cxn modelId="{A43404FD-7E9D-FA40-9901-E24488B7041B}" type="presOf" srcId="{C39A6E5D-40AD-4595-B56E-E64DDCA6436E}" destId="{EC9EF7C5-A034-4FB5-91E8-10E4C33BC99E}" srcOrd="0" destOrd="0" presId="urn:microsoft.com/office/officeart/2005/8/layout/lProcess2"/>
    <dgm:cxn modelId="{DE7D040A-F4F1-4E5E-A428-50CECC0A184A}" srcId="{06F363BA-40E9-41DD-A1D4-68E36A12F09D}" destId="{C39A6E5D-40AD-4595-B56E-E64DDCA6436E}" srcOrd="0" destOrd="0" parTransId="{FD67C352-1067-4F9E-AC94-DF86D395C6B2}" sibTransId="{917D619D-3B99-4223-8FD3-C91B6FB7D662}"/>
    <dgm:cxn modelId="{FC5996C2-3CDA-4DA0-BAE4-6C837F347756}" srcId="{99B889D5-6301-47C0-95E6-E3180731091B}" destId="{731F69BE-87EE-4377-AAE2-8DDB018921F8}" srcOrd="2" destOrd="0" parTransId="{13BCF5E6-5704-4B6D-9986-33193BEC5453}" sibTransId="{F0A7D91B-B8FC-4164-B637-67BB697ACBA8}"/>
    <dgm:cxn modelId="{B8BF85F0-4AF8-4B9C-8E31-2B5149E0446B}" srcId="{731F69BE-87EE-4377-AAE2-8DDB018921F8}" destId="{9ACEE169-B28D-40E7-843C-B70428FBF366}" srcOrd="0" destOrd="0" parTransId="{0F98D18A-AA67-4311-9AE7-B93007AC6A35}" sibTransId="{405C6ABD-3381-4E01-8650-FC8A2F37A462}"/>
    <dgm:cxn modelId="{45780B59-DB74-2540-B558-9921118F231A}" type="presOf" srcId="{731F69BE-87EE-4377-AAE2-8DDB018921F8}" destId="{FDB00A11-328A-4CFC-9C43-B8502C2889D8}" srcOrd="0" destOrd="0" presId="urn:microsoft.com/office/officeart/2005/8/layout/lProcess2"/>
    <dgm:cxn modelId="{ECA0EA53-880A-488E-A19D-CD61B5641F58}" srcId="{96C95BFD-3A00-4C1B-82C8-B7EEF4117EAB}" destId="{9B22BE92-A71F-4E65-AFEB-3F3507CF713F}" srcOrd="0" destOrd="0" parTransId="{E0E9ED10-030E-4B86-A5F1-1C2FFE08B3B2}" sibTransId="{845ADC9F-98B2-49FC-BE04-B877CAE65602}"/>
    <dgm:cxn modelId="{03E64142-DAB1-6046-9F29-6DD8B65C6AD9}" type="presOf" srcId="{96C95BFD-3A00-4C1B-82C8-B7EEF4117EAB}" destId="{7EEE35CF-01DC-4249-8E1B-4844918F33D1}" srcOrd="0" destOrd="0" presId="urn:microsoft.com/office/officeart/2005/8/layout/lProcess2"/>
    <dgm:cxn modelId="{FD7274C2-5A2F-4C39-AC14-3024E105C6F7}" srcId="{99B889D5-6301-47C0-95E6-E3180731091B}" destId="{06F363BA-40E9-41DD-A1D4-68E36A12F09D}" srcOrd="1" destOrd="0" parTransId="{D6D3915C-4525-4697-928C-12992040DEB1}" sibTransId="{03D84121-0B0B-41B0-B2BC-044099160971}"/>
    <dgm:cxn modelId="{5ECC34B8-FE9D-2C44-8BC1-48751B671342}" type="presOf" srcId="{06F363BA-40E9-41DD-A1D4-68E36A12F09D}" destId="{59D3EB9B-2B7E-40FC-B76F-63FABE582078}" srcOrd="1" destOrd="0" presId="urn:microsoft.com/office/officeart/2005/8/layout/lProcess2"/>
    <dgm:cxn modelId="{58B0EDC1-DAFD-1B49-AED1-4138CE3BF136}" type="presOf" srcId="{9ACEE169-B28D-40E7-843C-B70428FBF366}" destId="{282976CA-2C52-4838-9A2D-00C81E5B1C34}" srcOrd="0" destOrd="0" presId="urn:microsoft.com/office/officeart/2005/8/layout/lProcess2"/>
    <dgm:cxn modelId="{FE009EF8-569F-6E46-8A44-7431F6369B83}" type="presOf" srcId="{96C95BFD-3A00-4C1B-82C8-B7EEF4117EAB}" destId="{DDB366CD-3AAD-4A74-AB73-0FCA0188EDDD}" srcOrd="1" destOrd="0" presId="urn:microsoft.com/office/officeart/2005/8/layout/lProcess2"/>
    <dgm:cxn modelId="{1647C6D1-F15D-7746-B583-31763AF07535}" type="presOf" srcId="{731F69BE-87EE-4377-AAE2-8DDB018921F8}" destId="{FDF7918E-3FE8-4BA8-8709-14CF198348AE}" srcOrd="1" destOrd="0" presId="urn:microsoft.com/office/officeart/2005/8/layout/lProcess2"/>
    <dgm:cxn modelId="{41AFE270-F86C-5042-B69B-9960CC1E9838}" type="presOf" srcId="{06F363BA-40E9-41DD-A1D4-68E36A12F09D}" destId="{0D74859E-A81B-471F-9B2A-F373E8A216D2}" srcOrd="0" destOrd="0" presId="urn:microsoft.com/office/officeart/2005/8/layout/lProcess2"/>
    <dgm:cxn modelId="{216BDAF4-21B6-EA45-A269-C0BB57369A5C}" type="presParOf" srcId="{64D8F0B2-60F3-46CC-A396-3786BC3F7FF3}" destId="{A7F18ECF-9337-4988-A54A-1C440ED40E8B}" srcOrd="0" destOrd="0" presId="urn:microsoft.com/office/officeart/2005/8/layout/lProcess2"/>
    <dgm:cxn modelId="{8EBAEF55-76DD-6346-9B18-1A38D1906D4B}" type="presParOf" srcId="{A7F18ECF-9337-4988-A54A-1C440ED40E8B}" destId="{7EEE35CF-01DC-4249-8E1B-4844918F33D1}" srcOrd="0" destOrd="0" presId="urn:microsoft.com/office/officeart/2005/8/layout/lProcess2"/>
    <dgm:cxn modelId="{816ED66F-EF69-0945-95FA-D9C708BD530C}" type="presParOf" srcId="{A7F18ECF-9337-4988-A54A-1C440ED40E8B}" destId="{DDB366CD-3AAD-4A74-AB73-0FCA0188EDDD}" srcOrd="1" destOrd="0" presId="urn:microsoft.com/office/officeart/2005/8/layout/lProcess2"/>
    <dgm:cxn modelId="{2DF9DAA2-0D08-034B-B808-ECC59C627156}" type="presParOf" srcId="{A7F18ECF-9337-4988-A54A-1C440ED40E8B}" destId="{653DCFA6-6532-4DFA-BDAD-20C6547D7AC8}" srcOrd="2" destOrd="0" presId="urn:microsoft.com/office/officeart/2005/8/layout/lProcess2"/>
    <dgm:cxn modelId="{719B2598-5163-FF4D-A540-406460DAE563}" type="presParOf" srcId="{653DCFA6-6532-4DFA-BDAD-20C6547D7AC8}" destId="{AFCA8428-71BF-42DE-9334-474C6295C42B}" srcOrd="0" destOrd="0" presId="urn:microsoft.com/office/officeart/2005/8/layout/lProcess2"/>
    <dgm:cxn modelId="{A09BB239-6919-C449-A39E-A65A09759BF0}" type="presParOf" srcId="{AFCA8428-71BF-42DE-9334-474C6295C42B}" destId="{DA61FF3A-B7E5-4514-8A62-B265B9C154FD}" srcOrd="0" destOrd="0" presId="urn:microsoft.com/office/officeart/2005/8/layout/lProcess2"/>
    <dgm:cxn modelId="{81A9FF22-793A-A041-A7B2-5AA094E525CE}" type="presParOf" srcId="{64D8F0B2-60F3-46CC-A396-3786BC3F7FF3}" destId="{8BA72BE6-E8D3-4C95-9C5E-2AD346A4E264}" srcOrd="1" destOrd="0" presId="urn:microsoft.com/office/officeart/2005/8/layout/lProcess2"/>
    <dgm:cxn modelId="{E5943116-15CD-EA4F-981C-0F8D10B60CA7}" type="presParOf" srcId="{64D8F0B2-60F3-46CC-A396-3786BC3F7FF3}" destId="{9F14924A-5045-4378-8975-460E4D752357}" srcOrd="2" destOrd="0" presId="urn:microsoft.com/office/officeart/2005/8/layout/lProcess2"/>
    <dgm:cxn modelId="{8609CE94-B64F-E449-B3BB-39CF1C9DD24F}" type="presParOf" srcId="{9F14924A-5045-4378-8975-460E4D752357}" destId="{0D74859E-A81B-471F-9B2A-F373E8A216D2}" srcOrd="0" destOrd="0" presId="urn:microsoft.com/office/officeart/2005/8/layout/lProcess2"/>
    <dgm:cxn modelId="{551A4A74-FBDC-0147-8C39-AD3C98DF2E45}" type="presParOf" srcId="{9F14924A-5045-4378-8975-460E4D752357}" destId="{59D3EB9B-2B7E-40FC-B76F-63FABE582078}" srcOrd="1" destOrd="0" presId="urn:microsoft.com/office/officeart/2005/8/layout/lProcess2"/>
    <dgm:cxn modelId="{D267C1A3-AAA4-3E49-9309-9129B25CF46B}" type="presParOf" srcId="{9F14924A-5045-4378-8975-460E4D752357}" destId="{39181B22-9C65-4B29-A6E5-45D03055E984}" srcOrd="2" destOrd="0" presId="urn:microsoft.com/office/officeart/2005/8/layout/lProcess2"/>
    <dgm:cxn modelId="{8CEC07EB-FF15-DD4C-8538-18F126B94733}" type="presParOf" srcId="{39181B22-9C65-4B29-A6E5-45D03055E984}" destId="{CD24E3DA-C9C7-46F2-BA05-7E32CF354A93}" srcOrd="0" destOrd="0" presId="urn:microsoft.com/office/officeart/2005/8/layout/lProcess2"/>
    <dgm:cxn modelId="{405C9FE8-C16A-E841-B6A6-3C71AB0CC228}" type="presParOf" srcId="{CD24E3DA-C9C7-46F2-BA05-7E32CF354A93}" destId="{EC9EF7C5-A034-4FB5-91E8-10E4C33BC99E}" srcOrd="0" destOrd="0" presId="urn:microsoft.com/office/officeart/2005/8/layout/lProcess2"/>
    <dgm:cxn modelId="{BC560151-50A4-064F-AA9B-F11A9DE6D645}" type="presParOf" srcId="{64D8F0B2-60F3-46CC-A396-3786BC3F7FF3}" destId="{0F453D37-611F-4756-8B71-31A1370E5424}" srcOrd="3" destOrd="0" presId="urn:microsoft.com/office/officeart/2005/8/layout/lProcess2"/>
    <dgm:cxn modelId="{5EA59E45-5315-6E43-A0DE-4319AC0A10A5}" type="presParOf" srcId="{64D8F0B2-60F3-46CC-A396-3786BC3F7FF3}" destId="{950CA6CB-9973-4086-8EB5-B40424F4D27A}" srcOrd="4" destOrd="0" presId="urn:microsoft.com/office/officeart/2005/8/layout/lProcess2"/>
    <dgm:cxn modelId="{EDE25B89-B04B-AA47-8877-48ED92A0B97E}" type="presParOf" srcId="{950CA6CB-9973-4086-8EB5-B40424F4D27A}" destId="{FDB00A11-328A-4CFC-9C43-B8502C2889D8}" srcOrd="0" destOrd="0" presId="urn:microsoft.com/office/officeart/2005/8/layout/lProcess2"/>
    <dgm:cxn modelId="{1F3BA8C0-626F-2549-B568-C0D8BF15D95A}" type="presParOf" srcId="{950CA6CB-9973-4086-8EB5-B40424F4D27A}" destId="{FDF7918E-3FE8-4BA8-8709-14CF198348AE}" srcOrd="1" destOrd="0" presId="urn:microsoft.com/office/officeart/2005/8/layout/lProcess2"/>
    <dgm:cxn modelId="{EB28AC67-4CBC-854C-B1EB-594675063057}" type="presParOf" srcId="{950CA6CB-9973-4086-8EB5-B40424F4D27A}" destId="{A229BD80-8247-4425-BE55-DAAAE050F342}" srcOrd="2" destOrd="0" presId="urn:microsoft.com/office/officeart/2005/8/layout/lProcess2"/>
    <dgm:cxn modelId="{E316AD0B-14C3-6D45-93CD-C38E65FA69AF}" type="presParOf" srcId="{A229BD80-8247-4425-BE55-DAAAE050F342}" destId="{5CF2279D-DB85-40C7-B5ED-DE0991D15B1F}" srcOrd="0" destOrd="0" presId="urn:microsoft.com/office/officeart/2005/8/layout/lProcess2"/>
    <dgm:cxn modelId="{F16F8F71-7F76-324A-8A2C-5454AD7D7D58}" type="presParOf" srcId="{5CF2279D-DB85-40C7-B5ED-DE0991D15B1F}" destId="{282976CA-2C52-4838-9A2D-00C81E5B1C34}" srcOrd="0"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B889D5-6301-47C0-95E6-E3180731091B}" type="doc">
      <dgm:prSet loTypeId="urn:microsoft.com/office/officeart/2005/8/layout/lProcess2" loCatId="list" qsTypeId="urn:microsoft.com/office/officeart/2005/8/quickstyle/simple2" qsCatId="simple" csTypeId="urn:microsoft.com/office/officeart/2005/8/colors/colorful4" csCatId="colorful" phldr="1"/>
      <dgm:spPr/>
      <dgm:t>
        <a:bodyPr/>
        <a:p>
          <a:endParaRPr lang="zh-CN" altLang="en-US"/>
        </a:p>
      </dgm:t>
    </dgm:pt>
    <dgm:pt modelId="{96C95BFD-3A00-4C1B-82C8-B7EEF4117EAB}">
      <dgm:prSet phldrT="[文本]" custT="1"/>
      <dgm:spPr/>
      <dgm:t>
        <a:bodyPr/>
        <a:p>
          <a:r>
            <a:rPr lang="zh-CN" altLang="en-US" sz="1000"/>
            <a:t>双语大学预科课程</a:t>
          </a:r>
          <a:r>
            <a:rPr lang="en-US" altLang="zh-CN" sz="1000"/>
            <a:t>-</a:t>
          </a:r>
          <a:r>
            <a:rPr lang="zh-CN" altLang="en-US" sz="1000"/>
            <a:t>科学类</a:t>
          </a:r>
        </a:p>
      </dgm:t>
    </dgm:pt>
    <dgm:pt modelId="{F16FA5A2-F766-4DFF-8124-080FA384DCE5}" cxnId="{9B576910-4FC5-49B0-B7CE-8C469F031DA5}" type="parTrans">
      <dgm:prSet/>
      <dgm:spPr/>
      <dgm:t>
        <a:bodyPr/>
        <a:p>
          <a:endParaRPr lang="zh-CN" altLang="en-US" sz="1000"/>
        </a:p>
      </dgm:t>
    </dgm:pt>
    <dgm:pt modelId="{048E1714-71C9-4568-A2A4-C001172D469D}" cxnId="{9B576910-4FC5-49B0-B7CE-8C469F031DA5}" type="sibTrans">
      <dgm:prSet/>
      <dgm:spPr/>
      <dgm:t>
        <a:bodyPr/>
        <a:p>
          <a:endParaRPr lang="zh-CN" altLang="en-US" sz="1000"/>
        </a:p>
      </dgm:t>
    </dgm:pt>
    <dgm:pt modelId="{9B22BE92-A71F-4E65-AFEB-3F3507CF713F}">
      <dgm:prSet phldrT="[文本]" custT="1"/>
      <dgm:spPr/>
      <dgm:t>
        <a:bodyPr/>
        <a:p>
          <a:r>
            <a:rPr lang="zh-CN" altLang="en-US" sz="1000">
              <a:solidFill>
                <a:srgbClr val="000000"/>
              </a:solidFill>
            </a:rPr>
            <a:t>数学、物理、生物、化学</a:t>
          </a:r>
        </a:p>
      </dgm:t>
    </dgm:pt>
    <dgm:pt modelId="{E0E9ED10-030E-4B86-A5F1-1C2FFE08B3B2}" cxnId="{ECA0EA53-880A-488E-A19D-CD61B5641F58}" type="parTrans">
      <dgm:prSet/>
      <dgm:spPr/>
      <dgm:t>
        <a:bodyPr/>
        <a:p>
          <a:endParaRPr lang="zh-CN" altLang="en-US" sz="1000"/>
        </a:p>
      </dgm:t>
    </dgm:pt>
    <dgm:pt modelId="{845ADC9F-98B2-49FC-BE04-B877CAE65602}" cxnId="{ECA0EA53-880A-488E-A19D-CD61B5641F58}" type="sibTrans">
      <dgm:prSet/>
      <dgm:spPr/>
      <dgm:t>
        <a:bodyPr/>
        <a:p>
          <a:endParaRPr lang="zh-CN" altLang="en-US" sz="1000"/>
        </a:p>
      </dgm:t>
    </dgm:pt>
    <dgm:pt modelId="{06F363BA-40E9-41DD-A1D4-68E36A12F09D}">
      <dgm:prSet phldrT="[文本]" custT="1"/>
      <dgm:spPr/>
      <dgm:t>
        <a:bodyPr/>
        <a:p>
          <a:r>
            <a:rPr lang="zh-CN" altLang="en-US" sz="1000"/>
            <a:t>英语（分层教学）</a:t>
          </a:r>
        </a:p>
      </dgm:t>
    </dgm:pt>
    <dgm:pt modelId="{D6D3915C-4525-4697-928C-12992040DEB1}" cxnId="{FD7274C2-5A2F-4C39-AC14-3024E105C6F7}" type="parTrans">
      <dgm:prSet/>
      <dgm:spPr/>
      <dgm:t>
        <a:bodyPr/>
        <a:p>
          <a:endParaRPr lang="zh-CN" altLang="en-US" sz="1000"/>
        </a:p>
      </dgm:t>
    </dgm:pt>
    <dgm:pt modelId="{03D84121-0B0B-41B0-B2BC-044099160971}" cxnId="{FD7274C2-5A2F-4C39-AC14-3024E105C6F7}" type="sibTrans">
      <dgm:prSet/>
      <dgm:spPr/>
      <dgm:t>
        <a:bodyPr/>
        <a:p>
          <a:endParaRPr lang="zh-CN" altLang="en-US" sz="1000"/>
        </a:p>
      </dgm:t>
    </dgm:pt>
    <dgm:pt modelId="{C39A6E5D-40AD-4595-B56E-E64DDCA6436E}">
      <dgm:prSet phldrT="[文本]" custT="1"/>
      <dgm:spPr/>
      <dgm:t>
        <a:bodyPr/>
        <a:p>
          <a:r>
            <a:rPr lang="zh-CN" altLang="en-US" sz="1000">
              <a:solidFill>
                <a:srgbClr val="000000"/>
              </a:solidFill>
            </a:rPr>
            <a:t>综合英语与英语强化</a:t>
          </a:r>
        </a:p>
      </dgm:t>
    </dgm:pt>
    <dgm:pt modelId="{FD67C352-1067-4F9E-AC94-DF86D395C6B2}" cxnId="{DE7D040A-F4F1-4E5E-A428-50CECC0A184A}" type="parTrans">
      <dgm:prSet/>
      <dgm:spPr/>
      <dgm:t>
        <a:bodyPr/>
        <a:p>
          <a:endParaRPr lang="zh-CN" altLang="en-US" sz="1000"/>
        </a:p>
      </dgm:t>
    </dgm:pt>
    <dgm:pt modelId="{917D619D-3B99-4223-8FD3-C91B6FB7D662}" cxnId="{DE7D040A-F4F1-4E5E-A428-50CECC0A184A}" type="sibTrans">
      <dgm:prSet/>
      <dgm:spPr/>
      <dgm:t>
        <a:bodyPr/>
        <a:p>
          <a:endParaRPr lang="zh-CN" altLang="en-US" sz="1000"/>
        </a:p>
      </dgm:t>
    </dgm:pt>
    <dgm:pt modelId="{64D8F0B2-60F3-46CC-A396-3786BC3F7FF3}" type="pres">
      <dgm:prSet presAssocID="{99B889D5-6301-47C0-95E6-E3180731091B}" presName="theList" presStyleCnt="0">
        <dgm:presLayoutVars>
          <dgm:dir/>
          <dgm:animLvl val="lvl"/>
          <dgm:resizeHandles val="exact"/>
        </dgm:presLayoutVars>
      </dgm:prSet>
      <dgm:spPr/>
      <dgm:t>
        <a:bodyPr/>
        <a:p>
          <a:endParaRPr lang="zh-CN" altLang="en-US"/>
        </a:p>
      </dgm:t>
    </dgm:pt>
    <dgm:pt modelId="{A7F18ECF-9337-4988-A54A-1C440ED40E8B}" type="pres">
      <dgm:prSet presAssocID="{96C95BFD-3A00-4C1B-82C8-B7EEF4117EAB}" presName="compNode" presStyleCnt="0"/>
      <dgm:spPr/>
      <dgm:t>
        <a:bodyPr/>
        <a:p>
          <a:endParaRPr lang="zh-CN" altLang="en-US"/>
        </a:p>
      </dgm:t>
    </dgm:pt>
    <dgm:pt modelId="{7EEE35CF-01DC-4249-8E1B-4844918F33D1}" type="pres">
      <dgm:prSet presAssocID="{96C95BFD-3A00-4C1B-82C8-B7EEF4117EAB}" presName="aNode" presStyleLbl="bgShp" presStyleIdx="0" presStyleCnt="2" custLinFactNeighborX="-1411" custLinFactNeighborY="95031"/>
      <dgm:spPr/>
      <dgm:t>
        <a:bodyPr/>
        <a:p>
          <a:endParaRPr lang="zh-CN" altLang="en-US"/>
        </a:p>
      </dgm:t>
    </dgm:pt>
    <dgm:pt modelId="{DDB366CD-3AAD-4A74-AB73-0FCA0188EDDD}" type="pres">
      <dgm:prSet presAssocID="{96C95BFD-3A00-4C1B-82C8-B7EEF4117EAB}" presName="textNode" presStyleLbl="bgShp" presStyleIdx="0" presStyleCnt="2"/>
      <dgm:spPr/>
      <dgm:t>
        <a:bodyPr/>
        <a:p>
          <a:endParaRPr lang="zh-CN" altLang="en-US"/>
        </a:p>
      </dgm:t>
    </dgm:pt>
    <dgm:pt modelId="{653DCFA6-6532-4DFA-BDAD-20C6547D7AC8}" type="pres">
      <dgm:prSet presAssocID="{96C95BFD-3A00-4C1B-82C8-B7EEF4117EAB}" presName="compChildNode" presStyleCnt="0"/>
      <dgm:spPr/>
      <dgm:t>
        <a:bodyPr/>
        <a:p>
          <a:endParaRPr lang="zh-CN" altLang="en-US"/>
        </a:p>
      </dgm:t>
    </dgm:pt>
    <dgm:pt modelId="{AFCA8428-71BF-42DE-9334-474C6295C42B}" type="pres">
      <dgm:prSet presAssocID="{96C95BFD-3A00-4C1B-82C8-B7EEF4117EAB}" presName="theInnerList" presStyleCnt="0"/>
      <dgm:spPr/>
      <dgm:t>
        <a:bodyPr/>
        <a:p>
          <a:endParaRPr lang="zh-CN" altLang="en-US"/>
        </a:p>
      </dgm:t>
    </dgm:pt>
    <dgm:pt modelId="{DA61FF3A-B7E5-4514-8A62-B265B9C154FD}" type="pres">
      <dgm:prSet presAssocID="{9B22BE92-A71F-4E65-AFEB-3F3507CF713F}" presName="childNode" presStyleLbl="node1" presStyleIdx="0" presStyleCnt="2" custScaleX="119790" custLinFactNeighborX="-3866" custLinFactNeighborY="-4216">
        <dgm:presLayoutVars>
          <dgm:bulletEnabled val="1"/>
        </dgm:presLayoutVars>
      </dgm:prSet>
      <dgm:spPr/>
      <dgm:t>
        <a:bodyPr/>
        <a:p>
          <a:endParaRPr lang="zh-CN" altLang="en-US"/>
        </a:p>
      </dgm:t>
    </dgm:pt>
    <dgm:pt modelId="{8BA72BE6-E8D3-4C95-9C5E-2AD346A4E264}" type="pres">
      <dgm:prSet presAssocID="{96C95BFD-3A00-4C1B-82C8-B7EEF4117EAB}" presName="aSpace" presStyleCnt="0"/>
      <dgm:spPr/>
      <dgm:t>
        <a:bodyPr/>
        <a:p>
          <a:endParaRPr lang="zh-CN" altLang="en-US"/>
        </a:p>
      </dgm:t>
    </dgm:pt>
    <dgm:pt modelId="{9F14924A-5045-4378-8975-460E4D752357}" type="pres">
      <dgm:prSet presAssocID="{06F363BA-40E9-41DD-A1D4-68E36A12F09D}" presName="compNode" presStyleCnt="0"/>
      <dgm:spPr/>
      <dgm:t>
        <a:bodyPr/>
        <a:p>
          <a:endParaRPr lang="zh-CN" altLang="en-US"/>
        </a:p>
      </dgm:t>
    </dgm:pt>
    <dgm:pt modelId="{0D74859E-A81B-471F-9B2A-F373E8A216D2}" type="pres">
      <dgm:prSet presAssocID="{06F363BA-40E9-41DD-A1D4-68E36A12F09D}" presName="aNode" presStyleLbl="bgShp" presStyleIdx="1" presStyleCnt="2"/>
      <dgm:spPr/>
      <dgm:t>
        <a:bodyPr/>
        <a:p>
          <a:endParaRPr lang="zh-CN" altLang="en-US"/>
        </a:p>
      </dgm:t>
    </dgm:pt>
    <dgm:pt modelId="{59D3EB9B-2B7E-40FC-B76F-63FABE582078}" type="pres">
      <dgm:prSet presAssocID="{06F363BA-40E9-41DD-A1D4-68E36A12F09D}" presName="textNode" presStyleLbl="bgShp" presStyleIdx="1" presStyleCnt="2"/>
      <dgm:spPr/>
      <dgm:t>
        <a:bodyPr/>
        <a:p>
          <a:endParaRPr lang="zh-CN" altLang="en-US"/>
        </a:p>
      </dgm:t>
    </dgm:pt>
    <dgm:pt modelId="{39181B22-9C65-4B29-A6E5-45D03055E984}" type="pres">
      <dgm:prSet presAssocID="{06F363BA-40E9-41DD-A1D4-68E36A12F09D}" presName="compChildNode" presStyleCnt="0"/>
      <dgm:spPr/>
      <dgm:t>
        <a:bodyPr/>
        <a:p>
          <a:endParaRPr lang="zh-CN" altLang="en-US"/>
        </a:p>
      </dgm:t>
    </dgm:pt>
    <dgm:pt modelId="{CD24E3DA-C9C7-46F2-BA05-7E32CF354A93}" type="pres">
      <dgm:prSet presAssocID="{06F363BA-40E9-41DD-A1D4-68E36A12F09D}" presName="theInnerList" presStyleCnt="0"/>
      <dgm:spPr/>
      <dgm:t>
        <a:bodyPr/>
        <a:p>
          <a:endParaRPr lang="zh-CN" altLang="en-US"/>
        </a:p>
      </dgm:t>
    </dgm:pt>
    <dgm:pt modelId="{EC9EF7C5-A034-4FB5-91E8-10E4C33BC99E}" type="pres">
      <dgm:prSet presAssocID="{C39A6E5D-40AD-4595-B56E-E64DDCA6436E}" presName="childNode" presStyleLbl="node1" presStyleIdx="1" presStyleCnt="2" custScaleX="113991">
        <dgm:presLayoutVars>
          <dgm:bulletEnabled val="1"/>
        </dgm:presLayoutVars>
      </dgm:prSet>
      <dgm:spPr/>
      <dgm:t>
        <a:bodyPr/>
        <a:p>
          <a:endParaRPr lang="zh-CN" altLang="en-US"/>
        </a:p>
      </dgm:t>
    </dgm:pt>
  </dgm:ptLst>
  <dgm:cxnLst>
    <dgm:cxn modelId="{DE7D040A-F4F1-4E5E-A428-50CECC0A184A}" srcId="{06F363BA-40E9-41DD-A1D4-68E36A12F09D}" destId="{C39A6E5D-40AD-4595-B56E-E64DDCA6436E}" srcOrd="0" destOrd="0" parTransId="{FD67C352-1067-4F9E-AC94-DF86D395C6B2}" sibTransId="{917D619D-3B99-4223-8FD3-C91B6FB7D662}"/>
    <dgm:cxn modelId="{0B705377-7B1C-4C63-A8E0-DC1E84C169B6}" type="presOf" srcId="{06F363BA-40E9-41DD-A1D4-68E36A12F09D}" destId="{0D74859E-A81B-471F-9B2A-F373E8A216D2}" srcOrd="0" destOrd="0" presId="urn:microsoft.com/office/officeart/2005/8/layout/lProcess2"/>
    <dgm:cxn modelId="{FD7274C2-5A2F-4C39-AC14-3024E105C6F7}" srcId="{99B889D5-6301-47C0-95E6-E3180731091B}" destId="{06F363BA-40E9-41DD-A1D4-68E36A12F09D}" srcOrd="1" destOrd="0" parTransId="{D6D3915C-4525-4697-928C-12992040DEB1}" sibTransId="{03D84121-0B0B-41B0-B2BC-044099160971}"/>
    <dgm:cxn modelId="{ECA0EA53-880A-488E-A19D-CD61B5641F58}" srcId="{96C95BFD-3A00-4C1B-82C8-B7EEF4117EAB}" destId="{9B22BE92-A71F-4E65-AFEB-3F3507CF713F}" srcOrd="0" destOrd="0" parTransId="{E0E9ED10-030E-4B86-A5F1-1C2FFE08B3B2}" sibTransId="{845ADC9F-98B2-49FC-BE04-B877CAE65602}"/>
    <dgm:cxn modelId="{53E978A9-55E6-4DB4-B3C7-4049D3999235}" type="presOf" srcId="{96C95BFD-3A00-4C1B-82C8-B7EEF4117EAB}" destId="{DDB366CD-3AAD-4A74-AB73-0FCA0188EDDD}" srcOrd="1" destOrd="0" presId="urn:microsoft.com/office/officeart/2005/8/layout/lProcess2"/>
    <dgm:cxn modelId="{9B576910-4FC5-49B0-B7CE-8C469F031DA5}" srcId="{99B889D5-6301-47C0-95E6-E3180731091B}" destId="{96C95BFD-3A00-4C1B-82C8-B7EEF4117EAB}" srcOrd="0" destOrd="0" parTransId="{F16FA5A2-F766-4DFF-8124-080FA384DCE5}" sibTransId="{048E1714-71C9-4568-A2A4-C001172D469D}"/>
    <dgm:cxn modelId="{2AE92DC8-650A-4FA5-84EB-37003514E2EE}" type="presOf" srcId="{96C95BFD-3A00-4C1B-82C8-B7EEF4117EAB}" destId="{7EEE35CF-01DC-4249-8E1B-4844918F33D1}" srcOrd="0" destOrd="0" presId="urn:microsoft.com/office/officeart/2005/8/layout/lProcess2"/>
    <dgm:cxn modelId="{64ED2998-7B27-428C-8BB0-046B908B96E2}" type="presOf" srcId="{9B22BE92-A71F-4E65-AFEB-3F3507CF713F}" destId="{DA61FF3A-B7E5-4514-8A62-B265B9C154FD}" srcOrd="0" destOrd="0" presId="urn:microsoft.com/office/officeart/2005/8/layout/lProcess2"/>
    <dgm:cxn modelId="{12967040-041D-41D6-A22E-F1672B5993AA}" type="presOf" srcId="{06F363BA-40E9-41DD-A1D4-68E36A12F09D}" destId="{59D3EB9B-2B7E-40FC-B76F-63FABE582078}" srcOrd="1" destOrd="0" presId="urn:microsoft.com/office/officeart/2005/8/layout/lProcess2"/>
    <dgm:cxn modelId="{013A6221-7C1A-4C7F-BC95-BFDB309CA8DE}" type="presOf" srcId="{C39A6E5D-40AD-4595-B56E-E64DDCA6436E}" destId="{EC9EF7C5-A034-4FB5-91E8-10E4C33BC99E}" srcOrd="0" destOrd="0" presId="urn:microsoft.com/office/officeart/2005/8/layout/lProcess2"/>
    <dgm:cxn modelId="{2806E5CE-BB86-4B60-B1C9-2C7A0BED935D}" type="presOf" srcId="{99B889D5-6301-47C0-95E6-E3180731091B}" destId="{64D8F0B2-60F3-46CC-A396-3786BC3F7FF3}" srcOrd="0" destOrd="0" presId="urn:microsoft.com/office/officeart/2005/8/layout/lProcess2"/>
    <dgm:cxn modelId="{405F2120-A32B-4D58-82D7-1767019CE51E}" type="presParOf" srcId="{64D8F0B2-60F3-46CC-A396-3786BC3F7FF3}" destId="{A7F18ECF-9337-4988-A54A-1C440ED40E8B}" srcOrd="0" destOrd="0" presId="urn:microsoft.com/office/officeart/2005/8/layout/lProcess2"/>
    <dgm:cxn modelId="{613EA1A1-A597-40A2-8F30-540A8F789E46}" type="presParOf" srcId="{A7F18ECF-9337-4988-A54A-1C440ED40E8B}" destId="{7EEE35CF-01DC-4249-8E1B-4844918F33D1}" srcOrd="0" destOrd="0" presId="urn:microsoft.com/office/officeart/2005/8/layout/lProcess2"/>
    <dgm:cxn modelId="{B0D5DA9F-70A6-4349-A152-65B9A6F49F99}" type="presParOf" srcId="{A7F18ECF-9337-4988-A54A-1C440ED40E8B}" destId="{DDB366CD-3AAD-4A74-AB73-0FCA0188EDDD}" srcOrd="1" destOrd="0" presId="urn:microsoft.com/office/officeart/2005/8/layout/lProcess2"/>
    <dgm:cxn modelId="{75CDEBD2-60F7-4E71-93B3-6B53715BB06E}" type="presParOf" srcId="{A7F18ECF-9337-4988-A54A-1C440ED40E8B}" destId="{653DCFA6-6532-4DFA-BDAD-20C6547D7AC8}" srcOrd="2" destOrd="0" presId="urn:microsoft.com/office/officeart/2005/8/layout/lProcess2"/>
    <dgm:cxn modelId="{48654569-0E98-4C69-A125-795C4E8DC6F1}" type="presParOf" srcId="{653DCFA6-6532-4DFA-BDAD-20C6547D7AC8}" destId="{AFCA8428-71BF-42DE-9334-474C6295C42B}" srcOrd="0" destOrd="0" presId="urn:microsoft.com/office/officeart/2005/8/layout/lProcess2"/>
    <dgm:cxn modelId="{B1802DB1-6C75-4D29-A39A-83E3740BC01C}" type="presParOf" srcId="{AFCA8428-71BF-42DE-9334-474C6295C42B}" destId="{DA61FF3A-B7E5-4514-8A62-B265B9C154FD}" srcOrd="0" destOrd="0" presId="urn:microsoft.com/office/officeart/2005/8/layout/lProcess2"/>
    <dgm:cxn modelId="{DDCB9EAF-A53A-467C-883A-CBCABFE19759}" type="presParOf" srcId="{64D8F0B2-60F3-46CC-A396-3786BC3F7FF3}" destId="{8BA72BE6-E8D3-4C95-9C5E-2AD346A4E264}" srcOrd="1" destOrd="0" presId="urn:microsoft.com/office/officeart/2005/8/layout/lProcess2"/>
    <dgm:cxn modelId="{CA817AB1-044B-43B1-BDF0-1396050A2E91}" type="presParOf" srcId="{64D8F0B2-60F3-46CC-A396-3786BC3F7FF3}" destId="{9F14924A-5045-4378-8975-460E4D752357}" srcOrd="2" destOrd="0" presId="urn:microsoft.com/office/officeart/2005/8/layout/lProcess2"/>
    <dgm:cxn modelId="{711CCD75-E607-4DB3-B925-F3FDF735C747}" type="presParOf" srcId="{9F14924A-5045-4378-8975-460E4D752357}" destId="{0D74859E-A81B-471F-9B2A-F373E8A216D2}" srcOrd="0" destOrd="0" presId="urn:microsoft.com/office/officeart/2005/8/layout/lProcess2"/>
    <dgm:cxn modelId="{E62BF8DF-5247-4E78-B0C5-05090F15AB08}" type="presParOf" srcId="{9F14924A-5045-4378-8975-460E4D752357}" destId="{59D3EB9B-2B7E-40FC-B76F-63FABE582078}" srcOrd="1" destOrd="0" presId="urn:microsoft.com/office/officeart/2005/8/layout/lProcess2"/>
    <dgm:cxn modelId="{4584B056-BC79-4A84-940A-7927E557BEAC}" type="presParOf" srcId="{9F14924A-5045-4378-8975-460E4D752357}" destId="{39181B22-9C65-4B29-A6E5-45D03055E984}" srcOrd="2" destOrd="0" presId="urn:microsoft.com/office/officeart/2005/8/layout/lProcess2"/>
    <dgm:cxn modelId="{126FFEED-2749-45E4-8605-0D0296D7B581}" type="presParOf" srcId="{39181B22-9C65-4B29-A6E5-45D03055E984}" destId="{CD24E3DA-C9C7-46F2-BA05-7E32CF354A93}" srcOrd="0" destOrd="0" presId="urn:microsoft.com/office/officeart/2005/8/layout/lProcess2"/>
    <dgm:cxn modelId="{C0F0CB26-4DD6-40CA-936F-FC19F2B6EBE3}" type="presParOf" srcId="{CD24E3DA-C9C7-46F2-BA05-7E32CF354A93}" destId="{EC9EF7C5-A034-4FB5-91E8-10E4C33BC99E}" srcOrd="0"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56C74EB-89E2-4F3E-BD3D-0D912904F859}" type="doc">
      <dgm:prSet loTypeId="urn:microsoft.com/office/officeart/2005/8/layout/hierarchy2" loCatId="hierarchy" qsTypeId="urn:microsoft.com/office/officeart/2005/8/quickstyle/simple1" qsCatId="simple" csTypeId="urn:microsoft.com/office/officeart/2005/8/colors/colorful1" csCatId="colorful" phldr="1"/>
      <dgm:spPr/>
      <dgm:t>
        <a:bodyPr/>
        <a:p>
          <a:endParaRPr lang="zh-CN" altLang="en-US"/>
        </a:p>
      </dgm:t>
    </dgm:pt>
    <dgm:pt modelId="{65A2F60E-249C-4DF0-9F84-4F8D3F296239}">
      <dgm:prSet phldrT="[文本]" custT="1"/>
      <dgm:spPr/>
      <dgm:t>
        <a:bodyPr/>
        <a:p>
          <a:r>
            <a:rPr lang="zh-CN" altLang="en-US" sz="1000" b="0">
              <a:solidFill>
                <a:srgbClr val="000000"/>
              </a:solidFill>
            </a:rPr>
            <a:t>大学预科课程</a:t>
          </a:r>
        </a:p>
      </dgm:t>
    </dgm:pt>
    <dgm:pt modelId="{28577900-4402-4BE0-8B1F-DEB5A43C7230}" cxnId="{2E712ADB-265E-4B43-AA55-15F4BB25A1E0}" type="parTrans">
      <dgm:prSet/>
      <dgm:spPr/>
      <dgm:t>
        <a:bodyPr/>
        <a:p>
          <a:endParaRPr lang="zh-CN" altLang="en-US" sz="1000" b="0">
            <a:solidFill>
              <a:schemeClr val="tx1"/>
            </a:solidFill>
          </a:endParaRPr>
        </a:p>
      </dgm:t>
    </dgm:pt>
    <dgm:pt modelId="{31A25770-F494-46A0-85AA-7FC7598CB6D1}" cxnId="{2E712ADB-265E-4B43-AA55-15F4BB25A1E0}" type="sibTrans">
      <dgm:prSet/>
      <dgm:spPr/>
      <dgm:t>
        <a:bodyPr/>
        <a:p>
          <a:endParaRPr lang="zh-CN" altLang="en-US" sz="1000" b="0">
            <a:solidFill>
              <a:schemeClr val="tx1"/>
            </a:solidFill>
          </a:endParaRPr>
        </a:p>
      </dgm:t>
    </dgm:pt>
    <dgm:pt modelId="{C49E93F7-D91F-45D5-BD08-99FA5ECF35D8}">
      <dgm:prSet phldrT="[文本]" custT="1"/>
      <dgm:spPr/>
      <dgm:t>
        <a:bodyPr/>
        <a:p>
          <a:r>
            <a:rPr lang="zh-CN" altLang="en-US" sz="1000" b="0">
              <a:solidFill>
                <a:srgbClr val="000000"/>
              </a:solidFill>
            </a:rPr>
            <a:t>选课</a:t>
          </a:r>
          <a:r>
            <a:rPr lang="en-US" altLang="zh-CN" sz="1000" b="0">
              <a:solidFill>
                <a:srgbClr val="000000"/>
              </a:solidFill>
            </a:rPr>
            <a:t>I</a:t>
          </a:r>
          <a:endParaRPr lang="zh-CN" altLang="en-US" sz="1000" b="0">
            <a:solidFill>
              <a:srgbClr val="000000"/>
            </a:solidFill>
          </a:endParaRPr>
        </a:p>
      </dgm:t>
    </dgm:pt>
    <dgm:pt modelId="{7756A442-F632-4CA8-AC47-56A602F7B7FD}" cxnId="{ED860FC8-9207-48A0-87A2-44112A201BE2}" type="parTrans">
      <dgm:prSet custT="1"/>
      <dgm:spPr/>
      <dgm:t>
        <a:bodyPr/>
        <a:p>
          <a:endParaRPr lang="zh-CN" altLang="en-US" sz="1000" b="0">
            <a:solidFill>
              <a:schemeClr val="tx1"/>
            </a:solidFill>
          </a:endParaRPr>
        </a:p>
      </dgm:t>
    </dgm:pt>
    <dgm:pt modelId="{B79E56F5-85B5-48D3-88E7-BC6A32D7AFF0}" cxnId="{ED860FC8-9207-48A0-87A2-44112A201BE2}" type="sibTrans">
      <dgm:prSet/>
      <dgm:spPr/>
      <dgm:t>
        <a:bodyPr/>
        <a:p>
          <a:endParaRPr lang="zh-CN" altLang="en-US" sz="1000" b="0">
            <a:solidFill>
              <a:schemeClr val="tx1"/>
            </a:solidFill>
          </a:endParaRPr>
        </a:p>
      </dgm:t>
    </dgm:pt>
    <dgm:pt modelId="{8734DD89-F62F-46F3-A991-7FC049EEB684}">
      <dgm:prSet phldrT="[文本]" custT="1"/>
      <dgm:spPr/>
      <dgm:t>
        <a:bodyPr/>
        <a:p>
          <a:r>
            <a:rPr lang="zh-CN" altLang="en-US" sz="1000" b="0">
              <a:solidFill>
                <a:srgbClr val="000000"/>
              </a:solidFill>
            </a:rPr>
            <a:t>选课</a:t>
          </a:r>
          <a:r>
            <a:rPr lang="en-US" altLang="zh-CN" sz="1000" b="0">
              <a:solidFill>
                <a:srgbClr val="000000"/>
              </a:solidFill>
            </a:rPr>
            <a:t>II</a:t>
          </a:r>
          <a:endParaRPr lang="zh-CN" altLang="en-US" sz="1000" b="0">
            <a:solidFill>
              <a:srgbClr val="000000"/>
            </a:solidFill>
          </a:endParaRPr>
        </a:p>
      </dgm:t>
    </dgm:pt>
    <dgm:pt modelId="{B1FF8647-FE96-4475-AEB7-9F3AD78DC62D}" cxnId="{10D23B4B-F2E0-4102-B0D6-3A8D74334110}" type="parTrans">
      <dgm:prSet custT="1"/>
      <dgm:spPr/>
      <dgm:t>
        <a:bodyPr/>
        <a:p>
          <a:endParaRPr lang="zh-CN" altLang="en-US" sz="1000" b="0">
            <a:solidFill>
              <a:schemeClr val="tx1"/>
            </a:solidFill>
          </a:endParaRPr>
        </a:p>
      </dgm:t>
    </dgm:pt>
    <dgm:pt modelId="{5E6772F0-903B-4ECE-B510-A4CB3D6CF258}" cxnId="{10D23B4B-F2E0-4102-B0D6-3A8D74334110}" type="sibTrans">
      <dgm:prSet/>
      <dgm:spPr/>
      <dgm:t>
        <a:bodyPr/>
        <a:p>
          <a:endParaRPr lang="zh-CN" altLang="en-US" sz="1000" b="0">
            <a:solidFill>
              <a:schemeClr val="tx1"/>
            </a:solidFill>
          </a:endParaRPr>
        </a:p>
      </dgm:t>
    </dgm:pt>
    <dgm:pt modelId="{AFB69939-6751-4883-8F48-E5E5823B05DE}">
      <dgm:prSet phldrT="[文本]" custT="1"/>
      <dgm:spPr/>
      <dgm:t>
        <a:bodyPr/>
        <a:p>
          <a:r>
            <a:rPr lang="zh-CN" altLang="en-US" sz="1000" b="0">
              <a:solidFill>
                <a:schemeClr val="tx1"/>
              </a:solidFill>
            </a:rPr>
            <a:t>社会、经济、信息科学、文化发展等</a:t>
          </a:r>
        </a:p>
      </dgm:t>
    </dgm:pt>
    <dgm:pt modelId="{790F7E59-C289-40DD-84F9-B4E3B5758207}" cxnId="{0AF1EEBC-B8F4-4238-965D-88F9C48E8FE0}" type="parTrans">
      <dgm:prSet custT="1"/>
      <dgm:spPr/>
      <dgm:t>
        <a:bodyPr/>
        <a:p>
          <a:endParaRPr lang="zh-CN" altLang="en-US" sz="1000" b="0">
            <a:solidFill>
              <a:schemeClr val="tx1"/>
            </a:solidFill>
          </a:endParaRPr>
        </a:p>
      </dgm:t>
    </dgm:pt>
    <dgm:pt modelId="{F37D3123-67E3-46BE-99DB-89F9AB16D6A2}" cxnId="{0AF1EEBC-B8F4-4238-965D-88F9C48E8FE0}" type="sibTrans">
      <dgm:prSet/>
      <dgm:spPr/>
      <dgm:t>
        <a:bodyPr/>
        <a:p>
          <a:endParaRPr lang="zh-CN" altLang="en-US" sz="1000" b="0">
            <a:solidFill>
              <a:schemeClr val="tx1"/>
            </a:solidFill>
          </a:endParaRPr>
        </a:p>
      </dgm:t>
    </dgm:pt>
    <dgm:pt modelId="{DFE33CF8-6540-4075-9E37-722FBE2B8629}">
      <dgm:prSet phldrT="[文本]" custT="1"/>
      <dgm:spPr/>
      <dgm:t>
        <a:bodyPr/>
        <a:p>
          <a:r>
            <a:rPr lang="zh-CN" altLang="en-US" sz="1000" b="0">
              <a:solidFill>
                <a:schemeClr val="tx1"/>
              </a:solidFill>
            </a:rPr>
            <a:t>物理、化学、生物、心理学、音乐、美术等</a:t>
          </a:r>
        </a:p>
      </dgm:t>
    </dgm:pt>
    <dgm:pt modelId="{B4C0CF71-CACC-4183-BDB8-1212493C5589}" cxnId="{A935CBCE-4A41-4003-A891-554D430CC012}" type="sibTrans">
      <dgm:prSet/>
      <dgm:spPr/>
      <dgm:t>
        <a:bodyPr/>
        <a:p>
          <a:endParaRPr lang="zh-CN" altLang="en-US" sz="1000" b="0">
            <a:solidFill>
              <a:schemeClr val="tx1"/>
            </a:solidFill>
          </a:endParaRPr>
        </a:p>
      </dgm:t>
    </dgm:pt>
    <dgm:pt modelId="{FE398080-33A7-4CE5-A7CC-A862A21B7A80}" cxnId="{A935CBCE-4A41-4003-A891-554D430CC012}" type="parTrans">
      <dgm:prSet custT="1"/>
      <dgm:spPr/>
      <dgm:t>
        <a:bodyPr/>
        <a:p>
          <a:endParaRPr lang="zh-CN" altLang="en-US" sz="1000" b="0">
            <a:solidFill>
              <a:schemeClr val="tx1"/>
            </a:solidFill>
          </a:endParaRPr>
        </a:p>
      </dgm:t>
    </dgm:pt>
    <dgm:pt modelId="{0B901D8E-D153-44FC-8514-F020260AED96}" type="pres">
      <dgm:prSet presAssocID="{A56C74EB-89E2-4F3E-BD3D-0D912904F859}" presName="diagram" presStyleCnt="0">
        <dgm:presLayoutVars>
          <dgm:chPref val="1"/>
          <dgm:dir/>
          <dgm:animOne val="branch"/>
          <dgm:animLvl val="lvl"/>
          <dgm:resizeHandles val="exact"/>
        </dgm:presLayoutVars>
      </dgm:prSet>
      <dgm:spPr/>
      <dgm:t>
        <a:bodyPr/>
        <a:p>
          <a:endParaRPr lang="zh-CN" altLang="en-US"/>
        </a:p>
      </dgm:t>
    </dgm:pt>
    <dgm:pt modelId="{35E5E56C-68F5-4D31-BE1C-B0A54C8851FF}" type="pres">
      <dgm:prSet presAssocID="{65A2F60E-249C-4DF0-9F84-4F8D3F296239}" presName="root1" presStyleCnt="0"/>
      <dgm:spPr/>
      <dgm:t>
        <a:bodyPr/>
        <a:p>
          <a:endParaRPr lang="zh-CN" altLang="en-US"/>
        </a:p>
      </dgm:t>
    </dgm:pt>
    <dgm:pt modelId="{9FB3587A-561E-403E-8672-3EC4EB165478}" type="pres">
      <dgm:prSet presAssocID="{65A2F60E-249C-4DF0-9F84-4F8D3F296239}" presName="LevelOneTextNode" presStyleLbl="node0" presStyleIdx="0" presStyleCnt="1" custScaleY="45448">
        <dgm:presLayoutVars>
          <dgm:chPref val="3"/>
        </dgm:presLayoutVars>
      </dgm:prSet>
      <dgm:spPr/>
      <dgm:t>
        <a:bodyPr/>
        <a:p>
          <a:endParaRPr lang="zh-CN" altLang="en-US"/>
        </a:p>
      </dgm:t>
    </dgm:pt>
    <dgm:pt modelId="{76BDB25F-EC8F-4745-812D-2A1368FBED92}" type="pres">
      <dgm:prSet presAssocID="{65A2F60E-249C-4DF0-9F84-4F8D3F296239}" presName="level2hierChild" presStyleCnt="0"/>
      <dgm:spPr/>
      <dgm:t>
        <a:bodyPr/>
        <a:p>
          <a:endParaRPr lang="zh-CN" altLang="en-US"/>
        </a:p>
      </dgm:t>
    </dgm:pt>
    <dgm:pt modelId="{09A5D391-D0F7-44CD-8130-CDE116D2FC49}" type="pres">
      <dgm:prSet presAssocID="{7756A442-F632-4CA8-AC47-56A602F7B7FD}" presName="conn2-1" presStyleLbl="parChTrans1D2" presStyleIdx="0" presStyleCnt="2"/>
      <dgm:spPr/>
      <dgm:t>
        <a:bodyPr/>
        <a:p>
          <a:endParaRPr lang="zh-CN" altLang="en-US"/>
        </a:p>
      </dgm:t>
    </dgm:pt>
    <dgm:pt modelId="{1C82EF3F-E657-4647-B98E-DD012741D9AA}" type="pres">
      <dgm:prSet presAssocID="{7756A442-F632-4CA8-AC47-56A602F7B7FD}" presName="connTx" presStyleLbl="parChTrans1D2" presStyleIdx="0" presStyleCnt="2"/>
      <dgm:spPr/>
      <dgm:t>
        <a:bodyPr/>
        <a:p>
          <a:endParaRPr lang="zh-CN" altLang="en-US"/>
        </a:p>
      </dgm:t>
    </dgm:pt>
    <dgm:pt modelId="{26B86238-09F9-4A80-90D2-98005DDDFE60}" type="pres">
      <dgm:prSet presAssocID="{C49E93F7-D91F-45D5-BD08-99FA5ECF35D8}" presName="root2" presStyleCnt="0"/>
      <dgm:spPr/>
      <dgm:t>
        <a:bodyPr/>
        <a:p>
          <a:endParaRPr lang="zh-CN" altLang="en-US"/>
        </a:p>
      </dgm:t>
    </dgm:pt>
    <dgm:pt modelId="{CE104D51-78F2-4E77-A0A7-D5AF8E950C51}" type="pres">
      <dgm:prSet presAssocID="{C49E93F7-D91F-45D5-BD08-99FA5ECF35D8}" presName="LevelTwoTextNode" presStyleLbl="node2" presStyleIdx="0" presStyleCnt="2" custScaleX="78681" custScaleY="47741">
        <dgm:presLayoutVars>
          <dgm:chPref val="3"/>
        </dgm:presLayoutVars>
      </dgm:prSet>
      <dgm:spPr/>
      <dgm:t>
        <a:bodyPr/>
        <a:p>
          <a:endParaRPr lang="zh-CN" altLang="en-US"/>
        </a:p>
      </dgm:t>
    </dgm:pt>
    <dgm:pt modelId="{E4552BF0-82EF-42EA-8F6F-1E162C83B38F}" type="pres">
      <dgm:prSet presAssocID="{C49E93F7-D91F-45D5-BD08-99FA5ECF35D8}" presName="level3hierChild" presStyleCnt="0"/>
      <dgm:spPr/>
      <dgm:t>
        <a:bodyPr/>
        <a:p>
          <a:endParaRPr lang="zh-CN" altLang="en-US"/>
        </a:p>
      </dgm:t>
    </dgm:pt>
    <dgm:pt modelId="{3850E025-685B-4120-BFD6-4A7BAE84D937}" type="pres">
      <dgm:prSet presAssocID="{FE398080-33A7-4CE5-A7CC-A862A21B7A80}" presName="conn2-1" presStyleLbl="parChTrans1D3" presStyleIdx="0" presStyleCnt="2"/>
      <dgm:spPr/>
      <dgm:t>
        <a:bodyPr/>
        <a:p>
          <a:endParaRPr lang="zh-CN" altLang="en-US"/>
        </a:p>
      </dgm:t>
    </dgm:pt>
    <dgm:pt modelId="{419D1504-7FE7-4DB4-AC65-6C8AC17CB12E}" type="pres">
      <dgm:prSet presAssocID="{FE398080-33A7-4CE5-A7CC-A862A21B7A80}" presName="connTx" presStyleLbl="parChTrans1D3" presStyleIdx="0" presStyleCnt="2"/>
      <dgm:spPr/>
      <dgm:t>
        <a:bodyPr/>
        <a:p>
          <a:endParaRPr lang="zh-CN" altLang="en-US"/>
        </a:p>
      </dgm:t>
    </dgm:pt>
    <dgm:pt modelId="{298E01CA-7056-49E0-8D2E-DCCA42D3C1B5}" type="pres">
      <dgm:prSet presAssocID="{DFE33CF8-6540-4075-9E37-722FBE2B8629}" presName="root2" presStyleCnt="0"/>
      <dgm:spPr/>
      <dgm:t>
        <a:bodyPr/>
        <a:p>
          <a:endParaRPr lang="zh-CN" altLang="en-US"/>
        </a:p>
      </dgm:t>
    </dgm:pt>
    <dgm:pt modelId="{8C63A04C-4155-44FE-A38F-8802588A726E}" type="pres">
      <dgm:prSet presAssocID="{DFE33CF8-6540-4075-9E37-722FBE2B8629}" presName="LevelTwoTextNode" presStyleLbl="node3" presStyleIdx="0" presStyleCnt="2" custFlipVert="0" custScaleX="293431" custScaleY="75248" custLinFactNeighborX="6340" custLinFactNeighborY="5429">
        <dgm:presLayoutVars>
          <dgm:chPref val="3"/>
        </dgm:presLayoutVars>
      </dgm:prSet>
      <dgm:spPr/>
      <dgm:t>
        <a:bodyPr/>
        <a:p>
          <a:endParaRPr lang="zh-CN" altLang="en-US"/>
        </a:p>
      </dgm:t>
    </dgm:pt>
    <dgm:pt modelId="{E43F6BBD-D2FF-4E8F-9A9F-4109DDE0B1E9}" type="pres">
      <dgm:prSet presAssocID="{DFE33CF8-6540-4075-9E37-722FBE2B8629}" presName="level3hierChild" presStyleCnt="0"/>
      <dgm:spPr/>
      <dgm:t>
        <a:bodyPr/>
        <a:p>
          <a:endParaRPr lang="zh-CN" altLang="en-US"/>
        </a:p>
      </dgm:t>
    </dgm:pt>
    <dgm:pt modelId="{75CDD403-F35B-481E-9416-64923F2B3C4A}" type="pres">
      <dgm:prSet presAssocID="{B1FF8647-FE96-4475-AEB7-9F3AD78DC62D}" presName="conn2-1" presStyleLbl="parChTrans1D2" presStyleIdx="1" presStyleCnt="2"/>
      <dgm:spPr/>
      <dgm:t>
        <a:bodyPr/>
        <a:p>
          <a:endParaRPr lang="zh-CN" altLang="en-US"/>
        </a:p>
      </dgm:t>
    </dgm:pt>
    <dgm:pt modelId="{A15A773A-2AEB-4256-B26E-D5D8F549CB52}" type="pres">
      <dgm:prSet presAssocID="{B1FF8647-FE96-4475-AEB7-9F3AD78DC62D}" presName="connTx" presStyleLbl="parChTrans1D2" presStyleIdx="1" presStyleCnt="2"/>
      <dgm:spPr/>
      <dgm:t>
        <a:bodyPr/>
        <a:p>
          <a:endParaRPr lang="zh-CN" altLang="en-US"/>
        </a:p>
      </dgm:t>
    </dgm:pt>
    <dgm:pt modelId="{FC6421CD-B808-457D-8788-FC5CF1E10A67}" type="pres">
      <dgm:prSet presAssocID="{8734DD89-F62F-46F3-A991-7FC049EEB684}" presName="root2" presStyleCnt="0"/>
      <dgm:spPr/>
      <dgm:t>
        <a:bodyPr/>
        <a:p>
          <a:endParaRPr lang="zh-CN" altLang="en-US"/>
        </a:p>
      </dgm:t>
    </dgm:pt>
    <dgm:pt modelId="{9A1C92F0-B620-4FC9-9008-684DE9FFE629}" type="pres">
      <dgm:prSet presAssocID="{8734DD89-F62F-46F3-A991-7FC049EEB684}" presName="LevelTwoTextNode" presStyleLbl="node2" presStyleIdx="1" presStyleCnt="2" custScaleX="82138" custScaleY="48042">
        <dgm:presLayoutVars>
          <dgm:chPref val="3"/>
        </dgm:presLayoutVars>
      </dgm:prSet>
      <dgm:spPr/>
      <dgm:t>
        <a:bodyPr/>
        <a:p>
          <a:endParaRPr lang="zh-CN" altLang="en-US"/>
        </a:p>
      </dgm:t>
    </dgm:pt>
    <dgm:pt modelId="{44880845-35CC-4455-B6AA-12E1F4AD31CF}" type="pres">
      <dgm:prSet presAssocID="{8734DD89-F62F-46F3-A991-7FC049EEB684}" presName="level3hierChild" presStyleCnt="0"/>
      <dgm:spPr/>
      <dgm:t>
        <a:bodyPr/>
        <a:p>
          <a:endParaRPr lang="zh-CN" altLang="en-US"/>
        </a:p>
      </dgm:t>
    </dgm:pt>
    <dgm:pt modelId="{22C9D85B-EF63-4B7F-A8E9-7CCDBB1F18C2}" type="pres">
      <dgm:prSet presAssocID="{790F7E59-C289-40DD-84F9-B4E3B5758207}" presName="conn2-1" presStyleLbl="parChTrans1D3" presStyleIdx="1" presStyleCnt="2"/>
      <dgm:spPr/>
      <dgm:t>
        <a:bodyPr/>
        <a:p>
          <a:endParaRPr lang="zh-CN" altLang="en-US"/>
        </a:p>
      </dgm:t>
    </dgm:pt>
    <dgm:pt modelId="{B2235319-450E-4F4E-85B7-E705C128278A}" type="pres">
      <dgm:prSet presAssocID="{790F7E59-C289-40DD-84F9-B4E3B5758207}" presName="connTx" presStyleLbl="parChTrans1D3" presStyleIdx="1" presStyleCnt="2"/>
      <dgm:spPr/>
      <dgm:t>
        <a:bodyPr/>
        <a:p>
          <a:endParaRPr lang="zh-CN" altLang="en-US"/>
        </a:p>
      </dgm:t>
    </dgm:pt>
    <dgm:pt modelId="{32ECEE8F-C85A-4167-82C7-896E0677E119}" type="pres">
      <dgm:prSet presAssocID="{AFB69939-6751-4883-8F48-E5E5823B05DE}" presName="root2" presStyleCnt="0"/>
      <dgm:spPr/>
      <dgm:t>
        <a:bodyPr/>
        <a:p>
          <a:endParaRPr lang="zh-CN" altLang="en-US"/>
        </a:p>
      </dgm:t>
    </dgm:pt>
    <dgm:pt modelId="{D4C0BAF5-AEC6-4213-96A1-190002D75479}" type="pres">
      <dgm:prSet presAssocID="{AFB69939-6751-4883-8F48-E5E5823B05DE}" presName="LevelTwoTextNode" presStyleLbl="node3" presStyleIdx="1" presStyleCnt="2" custScaleX="296046" custScaleY="71545" custLinFactNeighborX="3259" custLinFactNeighborY="4614">
        <dgm:presLayoutVars>
          <dgm:chPref val="3"/>
        </dgm:presLayoutVars>
      </dgm:prSet>
      <dgm:spPr/>
      <dgm:t>
        <a:bodyPr/>
        <a:p>
          <a:endParaRPr lang="zh-CN" altLang="en-US"/>
        </a:p>
      </dgm:t>
    </dgm:pt>
    <dgm:pt modelId="{2AC1E8F6-506D-4333-8EC1-57B281F65772}" type="pres">
      <dgm:prSet presAssocID="{AFB69939-6751-4883-8F48-E5E5823B05DE}" presName="level3hierChild" presStyleCnt="0"/>
      <dgm:spPr/>
      <dgm:t>
        <a:bodyPr/>
        <a:p>
          <a:endParaRPr lang="zh-CN" altLang="en-US"/>
        </a:p>
      </dgm:t>
    </dgm:pt>
  </dgm:ptLst>
  <dgm:cxnLst>
    <dgm:cxn modelId="{BB41EDDA-0CD5-4E41-A7BE-C931A2DE14C6}" type="presOf" srcId="{A56C74EB-89E2-4F3E-BD3D-0D912904F859}" destId="{0B901D8E-D153-44FC-8514-F020260AED96}" srcOrd="0" destOrd="0" presId="urn:microsoft.com/office/officeart/2005/8/layout/hierarchy2"/>
    <dgm:cxn modelId="{02437110-E22A-4EE8-8C9C-1130C23EF4E0}" type="presOf" srcId="{B1FF8647-FE96-4475-AEB7-9F3AD78DC62D}" destId="{A15A773A-2AEB-4256-B26E-D5D8F549CB52}" srcOrd="1" destOrd="0" presId="urn:microsoft.com/office/officeart/2005/8/layout/hierarchy2"/>
    <dgm:cxn modelId="{A935CBCE-4A41-4003-A891-554D430CC012}" srcId="{C49E93F7-D91F-45D5-BD08-99FA5ECF35D8}" destId="{DFE33CF8-6540-4075-9E37-722FBE2B8629}" srcOrd="0" destOrd="0" parTransId="{FE398080-33A7-4CE5-A7CC-A862A21B7A80}" sibTransId="{B4C0CF71-CACC-4183-BDB8-1212493C5589}"/>
    <dgm:cxn modelId="{0AF1EEBC-B8F4-4238-965D-88F9C48E8FE0}" srcId="{8734DD89-F62F-46F3-A991-7FC049EEB684}" destId="{AFB69939-6751-4883-8F48-E5E5823B05DE}" srcOrd="0" destOrd="0" parTransId="{790F7E59-C289-40DD-84F9-B4E3B5758207}" sibTransId="{F37D3123-67E3-46BE-99DB-89F9AB16D6A2}"/>
    <dgm:cxn modelId="{9933F602-F160-4728-ADB2-DAE5966D3945}" type="presOf" srcId="{FE398080-33A7-4CE5-A7CC-A862A21B7A80}" destId="{419D1504-7FE7-4DB4-AC65-6C8AC17CB12E}" srcOrd="1" destOrd="0" presId="urn:microsoft.com/office/officeart/2005/8/layout/hierarchy2"/>
    <dgm:cxn modelId="{ED860FC8-9207-48A0-87A2-44112A201BE2}" srcId="{65A2F60E-249C-4DF0-9F84-4F8D3F296239}" destId="{C49E93F7-D91F-45D5-BD08-99FA5ECF35D8}" srcOrd="0" destOrd="0" parTransId="{7756A442-F632-4CA8-AC47-56A602F7B7FD}" sibTransId="{B79E56F5-85B5-48D3-88E7-BC6A32D7AFF0}"/>
    <dgm:cxn modelId="{9CD81F3D-284F-41FA-9240-F4D33788D832}" type="presOf" srcId="{7756A442-F632-4CA8-AC47-56A602F7B7FD}" destId="{09A5D391-D0F7-44CD-8130-CDE116D2FC49}" srcOrd="0" destOrd="0" presId="urn:microsoft.com/office/officeart/2005/8/layout/hierarchy2"/>
    <dgm:cxn modelId="{7F21F417-2C7F-4EDA-88B5-7B3E2D09FCA8}" type="presOf" srcId="{AFB69939-6751-4883-8F48-E5E5823B05DE}" destId="{D4C0BAF5-AEC6-4213-96A1-190002D75479}" srcOrd="0" destOrd="0" presId="urn:microsoft.com/office/officeart/2005/8/layout/hierarchy2"/>
    <dgm:cxn modelId="{38C57FA5-9ECD-4D2F-BF8C-C62618546E35}" type="presOf" srcId="{C49E93F7-D91F-45D5-BD08-99FA5ECF35D8}" destId="{CE104D51-78F2-4E77-A0A7-D5AF8E950C51}" srcOrd="0" destOrd="0" presId="urn:microsoft.com/office/officeart/2005/8/layout/hierarchy2"/>
    <dgm:cxn modelId="{31EBE7F6-793A-42F9-AC5F-3E55E51F4C08}" type="presOf" srcId="{65A2F60E-249C-4DF0-9F84-4F8D3F296239}" destId="{9FB3587A-561E-403E-8672-3EC4EB165478}" srcOrd="0" destOrd="0" presId="urn:microsoft.com/office/officeart/2005/8/layout/hierarchy2"/>
    <dgm:cxn modelId="{8BED2AF5-2CBA-4EDA-BBC9-71CA5E94DDB4}" type="presOf" srcId="{790F7E59-C289-40DD-84F9-B4E3B5758207}" destId="{B2235319-450E-4F4E-85B7-E705C128278A}" srcOrd="1" destOrd="0" presId="urn:microsoft.com/office/officeart/2005/8/layout/hierarchy2"/>
    <dgm:cxn modelId="{32AB1F73-08FA-4D18-9BDE-B1F9B8798BC9}" type="presOf" srcId="{7756A442-F632-4CA8-AC47-56A602F7B7FD}" destId="{1C82EF3F-E657-4647-B98E-DD012741D9AA}" srcOrd="1" destOrd="0" presId="urn:microsoft.com/office/officeart/2005/8/layout/hierarchy2"/>
    <dgm:cxn modelId="{5522C1C8-35E1-47B9-A958-3B9D1C87A04F}" type="presOf" srcId="{FE398080-33A7-4CE5-A7CC-A862A21B7A80}" destId="{3850E025-685B-4120-BFD6-4A7BAE84D937}" srcOrd="0" destOrd="0" presId="urn:microsoft.com/office/officeart/2005/8/layout/hierarchy2"/>
    <dgm:cxn modelId="{2F282C83-96FE-4B91-AB13-D1F4B8374B3E}" type="presOf" srcId="{B1FF8647-FE96-4475-AEB7-9F3AD78DC62D}" destId="{75CDD403-F35B-481E-9416-64923F2B3C4A}" srcOrd="0" destOrd="0" presId="urn:microsoft.com/office/officeart/2005/8/layout/hierarchy2"/>
    <dgm:cxn modelId="{10D23B4B-F2E0-4102-B0D6-3A8D74334110}" srcId="{65A2F60E-249C-4DF0-9F84-4F8D3F296239}" destId="{8734DD89-F62F-46F3-A991-7FC049EEB684}" srcOrd="1" destOrd="0" parTransId="{B1FF8647-FE96-4475-AEB7-9F3AD78DC62D}" sibTransId="{5E6772F0-903B-4ECE-B510-A4CB3D6CF258}"/>
    <dgm:cxn modelId="{AA85F84F-A1ED-47D8-B968-625FA10B11F9}" type="presOf" srcId="{DFE33CF8-6540-4075-9E37-722FBE2B8629}" destId="{8C63A04C-4155-44FE-A38F-8802588A726E}" srcOrd="0" destOrd="0" presId="urn:microsoft.com/office/officeart/2005/8/layout/hierarchy2"/>
    <dgm:cxn modelId="{2E712ADB-265E-4B43-AA55-15F4BB25A1E0}" srcId="{A56C74EB-89E2-4F3E-BD3D-0D912904F859}" destId="{65A2F60E-249C-4DF0-9F84-4F8D3F296239}" srcOrd="0" destOrd="0" parTransId="{28577900-4402-4BE0-8B1F-DEB5A43C7230}" sibTransId="{31A25770-F494-46A0-85AA-7FC7598CB6D1}"/>
    <dgm:cxn modelId="{58A9D851-84B2-470E-8BC1-9BC6F588B842}" type="presOf" srcId="{790F7E59-C289-40DD-84F9-B4E3B5758207}" destId="{22C9D85B-EF63-4B7F-A8E9-7CCDBB1F18C2}" srcOrd="0" destOrd="0" presId="urn:microsoft.com/office/officeart/2005/8/layout/hierarchy2"/>
    <dgm:cxn modelId="{882DB2E2-2E48-4F62-B8E5-8899B346E7A4}" type="presOf" srcId="{8734DD89-F62F-46F3-A991-7FC049EEB684}" destId="{9A1C92F0-B620-4FC9-9008-684DE9FFE629}" srcOrd="0" destOrd="0" presId="urn:microsoft.com/office/officeart/2005/8/layout/hierarchy2"/>
    <dgm:cxn modelId="{B6077322-C504-4C1E-AD5B-F1DBFD868A56}" type="presParOf" srcId="{0B901D8E-D153-44FC-8514-F020260AED96}" destId="{35E5E56C-68F5-4D31-BE1C-B0A54C8851FF}" srcOrd="0" destOrd="0" presId="urn:microsoft.com/office/officeart/2005/8/layout/hierarchy2"/>
    <dgm:cxn modelId="{D758BB87-60A8-450F-A646-4E02FBB0D5ED}" type="presParOf" srcId="{35E5E56C-68F5-4D31-BE1C-B0A54C8851FF}" destId="{9FB3587A-561E-403E-8672-3EC4EB165478}" srcOrd="0" destOrd="0" presId="urn:microsoft.com/office/officeart/2005/8/layout/hierarchy2"/>
    <dgm:cxn modelId="{CD50FC8D-7027-46BF-9ACC-3DFD1F77D7C0}" type="presParOf" srcId="{35E5E56C-68F5-4D31-BE1C-B0A54C8851FF}" destId="{76BDB25F-EC8F-4745-812D-2A1368FBED92}" srcOrd="1" destOrd="0" presId="urn:microsoft.com/office/officeart/2005/8/layout/hierarchy2"/>
    <dgm:cxn modelId="{33416A4E-B148-441B-9229-C40A6B060C0E}" type="presParOf" srcId="{76BDB25F-EC8F-4745-812D-2A1368FBED92}" destId="{09A5D391-D0F7-44CD-8130-CDE116D2FC49}" srcOrd="0" destOrd="0" presId="urn:microsoft.com/office/officeart/2005/8/layout/hierarchy2"/>
    <dgm:cxn modelId="{B1634251-6F69-4464-8E83-0BB20CCB4E7F}" type="presParOf" srcId="{09A5D391-D0F7-44CD-8130-CDE116D2FC49}" destId="{1C82EF3F-E657-4647-B98E-DD012741D9AA}" srcOrd="0" destOrd="0" presId="urn:microsoft.com/office/officeart/2005/8/layout/hierarchy2"/>
    <dgm:cxn modelId="{71206AD0-C01D-4582-998E-5B76E21DDC7F}" type="presParOf" srcId="{76BDB25F-EC8F-4745-812D-2A1368FBED92}" destId="{26B86238-09F9-4A80-90D2-98005DDDFE60}" srcOrd="1" destOrd="0" presId="urn:microsoft.com/office/officeart/2005/8/layout/hierarchy2"/>
    <dgm:cxn modelId="{88728CA1-E91A-46EA-A7EC-80642E44662E}" type="presParOf" srcId="{26B86238-09F9-4A80-90D2-98005DDDFE60}" destId="{CE104D51-78F2-4E77-A0A7-D5AF8E950C51}" srcOrd="0" destOrd="0" presId="urn:microsoft.com/office/officeart/2005/8/layout/hierarchy2"/>
    <dgm:cxn modelId="{F35B8F31-D904-4892-9B6C-B4DAACC22613}" type="presParOf" srcId="{26B86238-09F9-4A80-90D2-98005DDDFE60}" destId="{E4552BF0-82EF-42EA-8F6F-1E162C83B38F}" srcOrd="1" destOrd="0" presId="urn:microsoft.com/office/officeart/2005/8/layout/hierarchy2"/>
    <dgm:cxn modelId="{79D65890-0BDA-4BDC-B2F9-EE0475C4CDBC}" type="presParOf" srcId="{E4552BF0-82EF-42EA-8F6F-1E162C83B38F}" destId="{3850E025-685B-4120-BFD6-4A7BAE84D937}" srcOrd="0" destOrd="0" presId="urn:microsoft.com/office/officeart/2005/8/layout/hierarchy2"/>
    <dgm:cxn modelId="{C54CE313-6216-46EA-B69B-AA89E7A32850}" type="presParOf" srcId="{3850E025-685B-4120-BFD6-4A7BAE84D937}" destId="{419D1504-7FE7-4DB4-AC65-6C8AC17CB12E}" srcOrd="0" destOrd="0" presId="urn:microsoft.com/office/officeart/2005/8/layout/hierarchy2"/>
    <dgm:cxn modelId="{D69BC80D-8A8B-410E-80EB-9BF8604AE1B1}" type="presParOf" srcId="{E4552BF0-82EF-42EA-8F6F-1E162C83B38F}" destId="{298E01CA-7056-49E0-8D2E-DCCA42D3C1B5}" srcOrd="1" destOrd="0" presId="urn:microsoft.com/office/officeart/2005/8/layout/hierarchy2"/>
    <dgm:cxn modelId="{1D5D640C-1BDB-4155-A75A-C6353E08E873}" type="presParOf" srcId="{298E01CA-7056-49E0-8D2E-DCCA42D3C1B5}" destId="{8C63A04C-4155-44FE-A38F-8802588A726E}" srcOrd="0" destOrd="0" presId="urn:microsoft.com/office/officeart/2005/8/layout/hierarchy2"/>
    <dgm:cxn modelId="{96F65CD4-0F8A-4C87-9279-E6B46E36240B}" type="presParOf" srcId="{298E01CA-7056-49E0-8D2E-DCCA42D3C1B5}" destId="{E43F6BBD-D2FF-4E8F-9A9F-4109DDE0B1E9}" srcOrd="1" destOrd="0" presId="urn:microsoft.com/office/officeart/2005/8/layout/hierarchy2"/>
    <dgm:cxn modelId="{9B425D94-F453-4164-B5AF-75DE1963816F}" type="presParOf" srcId="{76BDB25F-EC8F-4745-812D-2A1368FBED92}" destId="{75CDD403-F35B-481E-9416-64923F2B3C4A}" srcOrd="2" destOrd="0" presId="urn:microsoft.com/office/officeart/2005/8/layout/hierarchy2"/>
    <dgm:cxn modelId="{CA9032A6-DC18-4F1F-AD53-6BBEA8F2929B}" type="presParOf" srcId="{75CDD403-F35B-481E-9416-64923F2B3C4A}" destId="{A15A773A-2AEB-4256-B26E-D5D8F549CB52}" srcOrd="0" destOrd="0" presId="urn:microsoft.com/office/officeart/2005/8/layout/hierarchy2"/>
    <dgm:cxn modelId="{33E8FAF0-9F7B-453F-BA7D-531BF9460E10}" type="presParOf" srcId="{76BDB25F-EC8F-4745-812D-2A1368FBED92}" destId="{FC6421CD-B808-457D-8788-FC5CF1E10A67}" srcOrd="3" destOrd="0" presId="urn:microsoft.com/office/officeart/2005/8/layout/hierarchy2"/>
    <dgm:cxn modelId="{30C22530-1FC1-4EBC-BA57-090379899BA1}" type="presParOf" srcId="{FC6421CD-B808-457D-8788-FC5CF1E10A67}" destId="{9A1C92F0-B620-4FC9-9008-684DE9FFE629}" srcOrd="0" destOrd="0" presId="urn:microsoft.com/office/officeart/2005/8/layout/hierarchy2"/>
    <dgm:cxn modelId="{676EB38E-73EC-4181-91C8-16A95858921C}" type="presParOf" srcId="{FC6421CD-B808-457D-8788-FC5CF1E10A67}" destId="{44880845-35CC-4455-B6AA-12E1F4AD31CF}" srcOrd="1" destOrd="0" presId="urn:microsoft.com/office/officeart/2005/8/layout/hierarchy2"/>
    <dgm:cxn modelId="{3AD24FD5-3430-4016-BFFA-9E4D3539FA8F}" type="presParOf" srcId="{44880845-35CC-4455-B6AA-12E1F4AD31CF}" destId="{22C9D85B-EF63-4B7F-A8E9-7CCDBB1F18C2}" srcOrd="0" destOrd="0" presId="urn:microsoft.com/office/officeart/2005/8/layout/hierarchy2"/>
    <dgm:cxn modelId="{F1384DEA-E8F5-40CB-BEB8-CEBBBC3F9D06}" type="presParOf" srcId="{22C9D85B-EF63-4B7F-A8E9-7CCDBB1F18C2}" destId="{B2235319-450E-4F4E-85B7-E705C128278A}" srcOrd="0" destOrd="0" presId="urn:microsoft.com/office/officeart/2005/8/layout/hierarchy2"/>
    <dgm:cxn modelId="{CC1F4161-3E27-42BC-BE29-1E14BA78A000}" type="presParOf" srcId="{44880845-35CC-4455-B6AA-12E1F4AD31CF}" destId="{32ECEE8F-C85A-4167-82C7-896E0677E119}" srcOrd="1" destOrd="0" presId="urn:microsoft.com/office/officeart/2005/8/layout/hierarchy2"/>
    <dgm:cxn modelId="{AACF8779-B902-4E39-871F-0849262DC419}" type="presParOf" srcId="{32ECEE8F-C85A-4167-82C7-896E0677E119}" destId="{D4C0BAF5-AEC6-4213-96A1-190002D75479}" srcOrd="0" destOrd="0" presId="urn:microsoft.com/office/officeart/2005/8/layout/hierarchy2"/>
    <dgm:cxn modelId="{A0A49FB1-6673-447E-8F23-797D54E21E15}" type="presParOf" srcId="{32ECEE8F-C85A-4167-82C7-896E0677E119}" destId="{2AC1E8F6-506D-4333-8EC1-57B281F65772}"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52DBB25-E823-4223-B65D-FCAE700F16CA}" type="doc">
      <dgm:prSet loTypeId="urn:microsoft.com/office/officeart/2005/8/layout/vList5" loCatId="list" qsTypeId="urn:microsoft.com/office/officeart/2005/8/quickstyle/simple1" qsCatId="simple" csTypeId="urn:microsoft.com/office/officeart/2005/8/colors/colorful5" csCatId="colorful" phldr="1"/>
      <dgm:spPr/>
      <dgm:t>
        <a:bodyPr/>
        <a:p>
          <a:endParaRPr lang="zh-CN" altLang="en-US"/>
        </a:p>
      </dgm:t>
    </dgm:pt>
    <dgm:pt modelId="{5E802D8E-3465-45C0-9410-A1E6C48B72F3}">
      <dgm:prSet phldrT="[文本]" custT="1"/>
      <dgm:spPr/>
      <dgm:t>
        <a:bodyPr/>
        <a:p>
          <a:r>
            <a:rPr lang="zh-CN" altLang="en-US" sz="1000" b="0">
              <a:solidFill>
                <a:srgbClr val="000000"/>
              </a:solidFill>
            </a:rPr>
            <a:t>升学规划课程</a:t>
          </a:r>
        </a:p>
      </dgm:t>
    </dgm:pt>
    <dgm:pt modelId="{E4C1BAE2-744C-4BC0-BD69-9A2A5F6F03D7}" cxnId="{17C47EA4-BA9A-43BC-B34E-EA903665F8D8}" type="parTrans">
      <dgm:prSet/>
      <dgm:spPr/>
      <dgm:t>
        <a:bodyPr/>
        <a:p>
          <a:endParaRPr lang="zh-CN" altLang="en-US" sz="1000" b="0">
            <a:solidFill>
              <a:schemeClr val="bg1"/>
            </a:solidFill>
          </a:endParaRPr>
        </a:p>
      </dgm:t>
    </dgm:pt>
    <dgm:pt modelId="{42ADE931-7562-43ED-B212-669464F92D0F}" cxnId="{17C47EA4-BA9A-43BC-B34E-EA903665F8D8}" type="sibTrans">
      <dgm:prSet/>
      <dgm:spPr/>
      <dgm:t>
        <a:bodyPr/>
        <a:p>
          <a:endParaRPr lang="zh-CN" altLang="en-US" sz="1000" b="0">
            <a:solidFill>
              <a:schemeClr val="bg1"/>
            </a:solidFill>
          </a:endParaRPr>
        </a:p>
      </dgm:t>
    </dgm:pt>
    <dgm:pt modelId="{6F1CCDD5-4768-4F93-A6E2-F9A577847B3D}">
      <dgm:prSet phldrT="[文本]" custT="1"/>
      <dgm:spPr/>
      <dgm:t>
        <a:bodyPr/>
        <a:p>
          <a:r>
            <a:rPr lang="zh-CN" altLang="en-US" sz="1000" b="0">
              <a:solidFill>
                <a:schemeClr val="tx1"/>
              </a:solidFill>
            </a:rPr>
            <a:t>升学指导与生涯规划</a:t>
          </a:r>
        </a:p>
      </dgm:t>
    </dgm:pt>
    <dgm:pt modelId="{17C63B22-80C4-4B93-9620-5EAE142578A1}" cxnId="{4F8695F1-A437-41D4-A226-B42133595C94}" type="parTrans">
      <dgm:prSet/>
      <dgm:spPr/>
      <dgm:t>
        <a:bodyPr/>
        <a:p>
          <a:endParaRPr lang="zh-CN" altLang="en-US" sz="1000" b="0">
            <a:solidFill>
              <a:schemeClr val="bg1"/>
            </a:solidFill>
          </a:endParaRPr>
        </a:p>
      </dgm:t>
    </dgm:pt>
    <dgm:pt modelId="{4BA25ECB-3FDC-4534-AB61-C381FCB02287}" cxnId="{4F8695F1-A437-41D4-A226-B42133595C94}" type="sibTrans">
      <dgm:prSet/>
      <dgm:spPr/>
      <dgm:t>
        <a:bodyPr/>
        <a:p>
          <a:endParaRPr lang="zh-CN" altLang="en-US" sz="1000" b="0">
            <a:solidFill>
              <a:schemeClr val="bg1"/>
            </a:solidFill>
          </a:endParaRPr>
        </a:p>
      </dgm:t>
    </dgm:pt>
    <dgm:pt modelId="{13D87F4C-50CC-4624-89E0-AF5F64CF6089}">
      <dgm:prSet phldrT="[文本]" custT="1"/>
      <dgm:spPr/>
      <dgm:t>
        <a:bodyPr/>
        <a:p>
          <a:r>
            <a:rPr lang="zh-CN" altLang="en-US" sz="1000" b="0">
              <a:solidFill>
                <a:srgbClr val="000000"/>
              </a:solidFill>
            </a:rPr>
            <a:t>研究性学习课程</a:t>
          </a:r>
        </a:p>
      </dgm:t>
    </dgm:pt>
    <dgm:pt modelId="{3CF3555F-540B-442C-9FDE-84683495335C}" cxnId="{29FE0B6C-D3AD-4D48-B13C-5C313048B531}" type="parTrans">
      <dgm:prSet/>
      <dgm:spPr/>
      <dgm:t>
        <a:bodyPr/>
        <a:p>
          <a:endParaRPr lang="zh-CN" altLang="en-US" sz="1000" b="0">
            <a:solidFill>
              <a:schemeClr val="bg1"/>
            </a:solidFill>
          </a:endParaRPr>
        </a:p>
      </dgm:t>
    </dgm:pt>
    <dgm:pt modelId="{E6F78D41-0C37-4268-BE15-CBFF336BBEC4}" cxnId="{29FE0B6C-D3AD-4D48-B13C-5C313048B531}" type="sibTrans">
      <dgm:prSet/>
      <dgm:spPr/>
      <dgm:t>
        <a:bodyPr/>
        <a:p>
          <a:endParaRPr lang="zh-CN" altLang="en-US" sz="1000" b="0">
            <a:solidFill>
              <a:schemeClr val="bg1"/>
            </a:solidFill>
          </a:endParaRPr>
        </a:p>
      </dgm:t>
    </dgm:pt>
    <dgm:pt modelId="{8FE8DE17-1616-4CA0-8940-B10896B28BB6}">
      <dgm:prSet phldrT="[文本]" custT="1"/>
      <dgm:spPr/>
      <dgm:t>
        <a:bodyPr/>
        <a:p>
          <a:r>
            <a:rPr lang="zh-CN" altLang="en-US" sz="1000" b="0">
              <a:solidFill>
                <a:schemeClr val="tx1"/>
              </a:solidFill>
            </a:rPr>
            <a:t>综合主题探究课</a:t>
          </a:r>
        </a:p>
      </dgm:t>
    </dgm:pt>
    <dgm:pt modelId="{F6A22C45-590A-4B7F-A924-F91AD91F2805}" cxnId="{E73D4829-6BA3-4180-B7C7-FD898A75D8D6}" type="parTrans">
      <dgm:prSet/>
      <dgm:spPr/>
      <dgm:t>
        <a:bodyPr/>
        <a:p>
          <a:endParaRPr lang="zh-CN" altLang="en-US" sz="1000" b="0">
            <a:solidFill>
              <a:schemeClr val="bg1"/>
            </a:solidFill>
          </a:endParaRPr>
        </a:p>
      </dgm:t>
    </dgm:pt>
    <dgm:pt modelId="{96F05085-3EFB-43A0-868A-FF8C4203F3FD}" cxnId="{E73D4829-6BA3-4180-B7C7-FD898A75D8D6}" type="sibTrans">
      <dgm:prSet/>
      <dgm:spPr/>
      <dgm:t>
        <a:bodyPr/>
        <a:p>
          <a:endParaRPr lang="zh-CN" altLang="en-US" sz="1000" b="0">
            <a:solidFill>
              <a:schemeClr val="bg1"/>
            </a:solidFill>
          </a:endParaRPr>
        </a:p>
      </dgm:t>
    </dgm:pt>
    <dgm:pt modelId="{743E52A1-F7CD-431A-9FE7-62D8AF91A381}">
      <dgm:prSet phldrT="[文本]" custT="1"/>
      <dgm:spPr/>
      <dgm:t>
        <a:bodyPr/>
        <a:p>
          <a:r>
            <a:rPr lang="zh-CN" altLang="en-US" sz="1000" b="0">
              <a:solidFill>
                <a:srgbClr val="000000"/>
              </a:solidFill>
            </a:rPr>
            <a:t>社会实践与社会服务课程</a:t>
          </a:r>
        </a:p>
      </dgm:t>
    </dgm:pt>
    <dgm:pt modelId="{2B397F99-DA1B-4517-A50F-74BDB3D75E19}" cxnId="{C160A4B1-9CEB-41FD-8D26-9FDD552CCB44}" type="parTrans">
      <dgm:prSet/>
      <dgm:spPr/>
      <dgm:t>
        <a:bodyPr/>
        <a:p>
          <a:endParaRPr lang="zh-CN" altLang="en-US" sz="1000" b="0">
            <a:solidFill>
              <a:schemeClr val="bg1"/>
            </a:solidFill>
          </a:endParaRPr>
        </a:p>
      </dgm:t>
    </dgm:pt>
    <dgm:pt modelId="{14BBFA08-0603-4C2A-AE04-0B5B10CDEB03}" cxnId="{C160A4B1-9CEB-41FD-8D26-9FDD552CCB44}" type="sibTrans">
      <dgm:prSet/>
      <dgm:spPr/>
      <dgm:t>
        <a:bodyPr/>
        <a:p>
          <a:endParaRPr lang="zh-CN" altLang="en-US" sz="1000" b="0">
            <a:solidFill>
              <a:schemeClr val="bg1"/>
            </a:solidFill>
          </a:endParaRPr>
        </a:p>
      </dgm:t>
    </dgm:pt>
    <dgm:pt modelId="{B0613774-75DF-477D-A6B9-0FD4C80B2107}">
      <dgm:prSet phldrT="[文本]" custT="1"/>
      <dgm:spPr/>
      <dgm:t>
        <a:bodyPr/>
        <a:p>
          <a:r>
            <a:rPr lang="zh-CN" altLang="en-US" sz="1000" b="0">
              <a:solidFill>
                <a:schemeClr val="tx1"/>
              </a:solidFill>
            </a:rPr>
            <a:t>与校本德育课程和学科教学相结合</a:t>
          </a:r>
        </a:p>
      </dgm:t>
    </dgm:pt>
    <dgm:pt modelId="{591F7977-1780-41AD-8873-D58D631EE2B2}" cxnId="{61F3B14A-F7D4-43B1-8DEE-C52065C62FBB}" type="parTrans">
      <dgm:prSet/>
      <dgm:spPr/>
      <dgm:t>
        <a:bodyPr/>
        <a:p>
          <a:endParaRPr lang="zh-CN" altLang="en-US" sz="1000" b="0">
            <a:solidFill>
              <a:schemeClr val="bg1"/>
            </a:solidFill>
          </a:endParaRPr>
        </a:p>
      </dgm:t>
    </dgm:pt>
    <dgm:pt modelId="{2D2C6353-5620-4350-A441-72DA667C575E}" cxnId="{61F3B14A-F7D4-43B1-8DEE-C52065C62FBB}" type="sibTrans">
      <dgm:prSet/>
      <dgm:spPr/>
      <dgm:t>
        <a:bodyPr/>
        <a:p>
          <a:endParaRPr lang="zh-CN" altLang="en-US" sz="1000" b="0">
            <a:solidFill>
              <a:schemeClr val="bg1"/>
            </a:solidFill>
          </a:endParaRPr>
        </a:p>
      </dgm:t>
    </dgm:pt>
    <dgm:pt modelId="{ECCB4CA3-15EC-461A-BEB9-DF25837278AC}" type="pres">
      <dgm:prSet presAssocID="{952DBB25-E823-4223-B65D-FCAE700F16CA}" presName="Name0" presStyleCnt="0">
        <dgm:presLayoutVars>
          <dgm:dir/>
          <dgm:animLvl val="lvl"/>
          <dgm:resizeHandles val="exact"/>
        </dgm:presLayoutVars>
      </dgm:prSet>
      <dgm:spPr/>
      <dgm:t>
        <a:bodyPr/>
        <a:p>
          <a:endParaRPr lang="zh-CN" altLang="en-US"/>
        </a:p>
      </dgm:t>
    </dgm:pt>
    <dgm:pt modelId="{4437D6A4-0768-4FB5-BE64-978073E20C25}" type="pres">
      <dgm:prSet presAssocID="{5E802D8E-3465-45C0-9410-A1E6C48B72F3}" presName="linNode" presStyleCnt="0"/>
      <dgm:spPr/>
    </dgm:pt>
    <dgm:pt modelId="{E567978C-F854-4379-ADB5-F45728828900}" type="pres">
      <dgm:prSet presAssocID="{5E802D8E-3465-45C0-9410-A1E6C48B72F3}" presName="parentText" presStyleLbl="node1" presStyleIdx="0" presStyleCnt="3">
        <dgm:presLayoutVars>
          <dgm:chMax val="1"/>
          <dgm:bulletEnabled val="1"/>
        </dgm:presLayoutVars>
      </dgm:prSet>
      <dgm:spPr/>
      <dgm:t>
        <a:bodyPr/>
        <a:p>
          <a:endParaRPr lang="zh-CN" altLang="en-US"/>
        </a:p>
      </dgm:t>
    </dgm:pt>
    <dgm:pt modelId="{8C49CBA9-B15B-430A-856E-50F503594B1E}" type="pres">
      <dgm:prSet presAssocID="{5E802D8E-3465-45C0-9410-A1E6C48B72F3}" presName="descendantText" presStyleLbl="alignAccFollowNode1" presStyleIdx="0" presStyleCnt="3" custScaleX="100110" custScaleY="85921">
        <dgm:presLayoutVars>
          <dgm:bulletEnabled val="1"/>
        </dgm:presLayoutVars>
      </dgm:prSet>
      <dgm:spPr/>
      <dgm:t>
        <a:bodyPr/>
        <a:p>
          <a:endParaRPr lang="zh-CN" altLang="en-US"/>
        </a:p>
      </dgm:t>
    </dgm:pt>
    <dgm:pt modelId="{97F3494C-38C1-49EB-8FAD-F54A29567A07}" type="pres">
      <dgm:prSet presAssocID="{42ADE931-7562-43ED-B212-669464F92D0F}" presName="sp" presStyleCnt="0"/>
      <dgm:spPr/>
    </dgm:pt>
    <dgm:pt modelId="{5A7CABE6-BB86-4942-9023-92E856FE7AAB}" type="pres">
      <dgm:prSet presAssocID="{13D87F4C-50CC-4624-89E0-AF5F64CF6089}" presName="linNode" presStyleCnt="0"/>
      <dgm:spPr/>
    </dgm:pt>
    <dgm:pt modelId="{8A16B4B3-73A5-4981-B6DA-F14B2A094809}" type="pres">
      <dgm:prSet presAssocID="{13D87F4C-50CC-4624-89E0-AF5F64CF6089}" presName="parentText" presStyleLbl="node1" presStyleIdx="1" presStyleCnt="3">
        <dgm:presLayoutVars>
          <dgm:chMax val="1"/>
          <dgm:bulletEnabled val="1"/>
        </dgm:presLayoutVars>
      </dgm:prSet>
      <dgm:spPr/>
      <dgm:t>
        <a:bodyPr/>
        <a:p>
          <a:endParaRPr lang="zh-CN" altLang="en-US"/>
        </a:p>
      </dgm:t>
    </dgm:pt>
    <dgm:pt modelId="{20050273-B0B5-4044-8565-52109E6837E5}" type="pres">
      <dgm:prSet presAssocID="{13D87F4C-50CC-4624-89E0-AF5F64CF6089}" presName="descendantText" presStyleLbl="alignAccFollowNode1" presStyleIdx="1" presStyleCnt="3">
        <dgm:presLayoutVars>
          <dgm:bulletEnabled val="1"/>
        </dgm:presLayoutVars>
      </dgm:prSet>
      <dgm:spPr/>
      <dgm:t>
        <a:bodyPr/>
        <a:p>
          <a:endParaRPr lang="zh-CN" altLang="en-US"/>
        </a:p>
      </dgm:t>
    </dgm:pt>
    <dgm:pt modelId="{D1C83819-F5FC-4F1A-AE9D-D6B667C68EB6}" type="pres">
      <dgm:prSet presAssocID="{E6F78D41-0C37-4268-BE15-CBFF336BBEC4}" presName="sp" presStyleCnt="0"/>
      <dgm:spPr/>
    </dgm:pt>
    <dgm:pt modelId="{F3C8D701-C595-4168-8DA7-B21344257603}" type="pres">
      <dgm:prSet presAssocID="{743E52A1-F7CD-431A-9FE7-62D8AF91A381}" presName="linNode" presStyleCnt="0"/>
      <dgm:spPr/>
    </dgm:pt>
    <dgm:pt modelId="{7876BAAE-1693-4726-82C3-213E7DDF4461}" type="pres">
      <dgm:prSet presAssocID="{743E52A1-F7CD-431A-9FE7-62D8AF91A381}" presName="parentText" presStyleLbl="node1" presStyleIdx="2" presStyleCnt="3" custScaleX="141913">
        <dgm:presLayoutVars>
          <dgm:chMax val="1"/>
          <dgm:bulletEnabled val="1"/>
        </dgm:presLayoutVars>
      </dgm:prSet>
      <dgm:spPr/>
      <dgm:t>
        <a:bodyPr/>
        <a:p>
          <a:endParaRPr lang="zh-CN" altLang="en-US"/>
        </a:p>
      </dgm:t>
    </dgm:pt>
    <dgm:pt modelId="{A7858558-E8BE-4D9B-BB64-B19C7B5D2F57}" type="pres">
      <dgm:prSet presAssocID="{743E52A1-F7CD-431A-9FE7-62D8AF91A381}" presName="descendantText" presStyleLbl="alignAccFollowNode1" presStyleIdx="2" presStyleCnt="3" custScaleX="136225" custLinFactNeighborX="114" custLinFactNeighborY="0">
        <dgm:presLayoutVars>
          <dgm:bulletEnabled val="1"/>
        </dgm:presLayoutVars>
      </dgm:prSet>
      <dgm:spPr/>
      <dgm:t>
        <a:bodyPr/>
        <a:p>
          <a:endParaRPr lang="zh-CN" altLang="en-US"/>
        </a:p>
      </dgm:t>
    </dgm:pt>
  </dgm:ptLst>
  <dgm:cxnLst>
    <dgm:cxn modelId="{29FE0B6C-D3AD-4D48-B13C-5C313048B531}" srcId="{952DBB25-E823-4223-B65D-FCAE700F16CA}" destId="{13D87F4C-50CC-4624-89E0-AF5F64CF6089}" srcOrd="1" destOrd="0" parTransId="{3CF3555F-540B-442C-9FDE-84683495335C}" sibTransId="{E6F78D41-0C37-4268-BE15-CBFF336BBEC4}"/>
    <dgm:cxn modelId="{47C2507D-8F53-42EE-9628-8AB78ED0971E}" type="presOf" srcId="{8FE8DE17-1616-4CA0-8940-B10896B28BB6}" destId="{20050273-B0B5-4044-8565-52109E6837E5}" srcOrd="0" destOrd="0" presId="urn:microsoft.com/office/officeart/2005/8/layout/vList5"/>
    <dgm:cxn modelId="{1F9B4214-316D-46DB-8A9D-65C2C78EDA1D}" type="presOf" srcId="{6F1CCDD5-4768-4F93-A6E2-F9A577847B3D}" destId="{8C49CBA9-B15B-430A-856E-50F503594B1E}" srcOrd="0" destOrd="0" presId="urn:microsoft.com/office/officeart/2005/8/layout/vList5"/>
    <dgm:cxn modelId="{61F3B14A-F7D4-43B1-8DEE-C52065C62FBB}" srcId="{743E52A1-F7CD-431A-9FE7-62D8AF91A381}" destId="{B0613774-75DF-477D-A6B9-0FD4C80B2107}" srcOrd="0" destOrd="0" parTransId="{591F7977-1780-41AD-8873-D58D631EE2B2}" sibTransId="{2D2C6353-5620-4350-A441-72DA667C575E}"/>
    <dgm:cxn modelId="{E73D4829-6BA3-4180-B7C7-FD898A75D8D6}" srcId="{13D87F4C-50CC-4624-89E0-AF5F64CF6089}" destId="{8FE8DE17-1616-4CA0-8940-B10896B28BB6}" srcOrd="0" destOrd="0" parTransId="{F6A22C45-590A-4B7F-A924-F91AD91F2805}" sibTransId="{96F05085-3EFB-43A0-868A-FF8C4203F3FD}"/>
    <dgm:cxn modelId="{4F8695F1-A437-41D4-A226-B42133595C94}" srcId="{5E802D8E-3465-45C0-9410-A1E6C48B72F3}" destId="{6F1CCDD5-4768-4F93-A6E2-F9A577847B3D}" srcOrd="0" destOrd="0" parTransId="{17C63B22-80C4-4B93-9620-5EAE142578A1}" sibTransId="{4BA25ECB-3FDC-4534-AB61-C381FCB02287}"/>
    <dgm:cxn modelId="{5C17CA24-9C5E-4172-9BD7-340618194BF1}" type="presOf" srcId="{5E802D8E-3465-45C0-9410-A1E6C48B72F3}" destId="{E567978C-F854-4379-ADB5-F45728828900}" srcOrd="0" destOrd="0" presId="urn:microsoft.com/office/officeart/2005/8/layout/vList5"/>
    <dgm:cxn modelId="{C160A4B1-9CEB-41FD-8D26-9FDD552CCB44}" srcId="{952DBB25-E823-4223-B65D-FCAE700F16CA}" destId="{743E52A1-F7CD-431A-9FE7-62D8AF91A381}" srcOrd="2" destOrd="0" parTransId="{2B397F99-DA1B-4517-A50F-74BDB3D75E19}" sibTransId="{14BBFA08-0603-4C2A-AE04-0B5B10CDEB03}"/>
    <dgm:cxn modelId="{FFB3146A-B51D-4C85-9622-83ADFBAD9E6D}" type="presOf" srcId="{952DBB25-E823-4223-B65D-FCAE700F16CA}" destId="{ECCB4CA3-15EC-461A-BEB9-DF25837278AC}" srcOrd="0" destOrd="0" presId="urn:microsoft.com/office/officeart/2005/8/layout/vList5"/>
    <dgm:cxn modelId="{FCD77532-188C-4DD4-A0CB-C3A26E429B4F}" type="presOf" srcId="{743E52A1-F7CD-431A-9FE7-62D8AF91A381}" destId="{7876BAAE-1693-4726-82C3-213E7DDF4461}" srcOrd="0" destOrd="0" presId="urn:microsoft.com/office/officeart/2005/8/layout/vList5"/>
    <dgm:cxn modelId="{17C47EA4-BA9A-43BC-B34E-EA903665F8D8}" srcId="{952DBB25-E823-4223-B65D-FCAE700F16CA}" destId="{5E802D8E-3465-45C0-9410-A1E6C48B72F3}" srcOrd="0" destOrd="0" parTransId="{E4C1BAE2-744C-4BC0-BD69-9A2A5F6F03D7}" sibTransId="{42ADE931-7562-43ED-B212-669464F92D0F}"/>
    <dgm:cxn modelId="{2FE53422-1AF3-498C-8697-FE4586A6F63D}" type="presOf" srcId="{B0613774-75DF-477D-A6B9-0FD4C80B2107}" destId="{A7858558-E8BE-4D9B-BB64-B19C7B5D2F57}" srcOrd="0" destOrd="0" presId="urn:microsoft.com/office/officeart/2005/8/layout/vList5"/>
    <dgm:cxn modelId="{DC32716C-F520-4195-AD0B-D51AD18FF9CD}" type="presOf" srcId="{13D87F4C-50CC-4624-89E0-AF5F64CF6089}" destId="{8A16B4B3-73A5-4981-B6DA-F14B2A094809}" srcOrd="0" destOrd="0" presId="urn:microsoft.com/office/officeart/2005/8/layout/vList5"/>
    <dgm:cxn modelId="{535621CE-6764-49C9-B1DB-3ED41C2AAA50}" type="presParOf" srcId="{ECCB4CA3-15EC-461A-BEB9-DF25837278AC}" destId="{4437D6A4-0768-4FB5-BE64-978073E20C25}" srcOrd="0" destOrd="0" presId="urn:microsoft.com/office/officeart/2005/8/layout/vList5"/>
    <dgm:cxn modelId="{5DAF510F-3563-4000-BE93-D148BBB2F3A7}" type="presParOf" srcId="{4437D6A4-0768-4FB5-BE64-978073E20C25}" destId="{E567978C-F854-4379-ADB5-F45728828900}" srcOrd="0" destOrd="0" presId="urn:microsoft.com/office/officeart/2005/8/layout/vList5"/>
    <dgm:cxn modelId="{64CCE89D-F13C-4076-ABB9-A3247D37061D}" type="presParOf" srcId="{4437D6A4-0768-4FB5-BE64-978073E20C25}" destId="{8C49CBA9-B15B-430A-856E-50F503594B1E}" srcOrd="1" destOrd="0" presId="urn:microsoft.com/office/officeart/2005/8/layout/vList5"/>
    <dgm:cxn modelId="{27BF386A-A845-4790-AC69-B6465C50DEFF}" type="presParOf" srcId="{ECCB4CA3-15EC-461A-BEB9-DF25837278AC}" destId="{97F3494C-38C1-49EB-8FAD-F54A29567A07}" srcOrd="1" destOrd="0" presId="urn:microsoft.com/office/officeart/2005/8/layout/vList5"/>
    <dgm:cxn modelId="{EE37B5A8-5B50-4CDD-82F6-600899C6A468}" type="presParOf" srcId="{ECCB4CA3-15EC-461A-BEB9-DF25837278AC}" destId="{5A7CABE6-BB86-4942-9023-92E856FE7AAB}" srcOrd="2" destOrd="0" presId="urn:microsoft.com/office/officeart/2005/8/layout/vList5"/>
    <dgm:cxn modelId="{2A80C3B6-E610-4D69-BC10-DE9EF2E6458B}" type="presParOf" srcId="{5A7CABE6-BB86-4942-9023-92E856FE7AAB}" destId="{8A16B4B3-73A5-4981-B6DA-F14B2A094809}" srcOrd="0" destOrd="0" presId="urn:microsoft.com/office/officeart/2005/8/layout/vList5"/>
    <dgm:cxn modelId="{6665C2D0-EC2F-4759-B1FB-7989DE9DDD3B}" type="presParOf" srcId="{5A7CABE6-BB86-4942-9023-92E856FE7AAB}" destId="{20050273-B0B5-4044-8565-52109E6837E5}" srcOrd="1" destOrd="0" presId="urn:microsoft.com/office/officeart/2005/8/layout/vList5"/>
    <dgm:cxn modelId="{0D56C5D1-11E6-4A25-89BE-75A6F9E6E16E}" type="presParOf" srcId="{ECCB4CA3-15EC-461A-BEB9-DF25837278AC}" destId="{D1C83819-F5FC-4F1A-AE9D-D6B667C68EB6}" srcOrd="3" destOrd="0" presId="urn:microsoft.com/office/officeart/2005/8/layout/vList5"/>
    <dgm:cxn modelId="{DE5F93C8-513F-4854-9396-12978784CE4F}" type="presParOf" srcId="{ECCB4CA3-15EC-461A-BEB9-DF25837278AC}" destId="{F3C8D701-C595-4168-8DA7-B21344257603}" srcOrd="4" destOrd="0" presId="urn:microsoft.com/office/officeart/2005/8/layout/vList5"/>
    <dgm:cxn modelId="{D4E5BB72-F5F7-44FE-B2BD-9BC6F5F936E6}" type="presParOf" srcId="{F3C8D701-C595-4168-8DA7-B21344257603}" destId="{7876BAAE-1693-4726-82C3-213E7DDF4461}" srcOrd="0" destOrd="0" presId="urn:microsoft.com/office/officeart/2005/8/layout/vList5"/>
    <dgm:cxn modelId="{56B38DE8-5E62-4256-A7EC-7CCB1F5D4F5D}" type="presParOf" srcId="{F3C8D701-C595-4168-8DA7-B21344257603}" destId="{A7858558-E8BE-4D9B-BB64-B19C7B5D2F57}"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233035" cy="1729105"/>
        <a:chOff x="0" y="0"/>
        <a:chExt cx="5233035" cy="1729105"/>
      </a:xfrm>
    </dsp:grpSpPr>
    <dsp:sp modelId="{09CEC0EC-314F-4B36-AD6C-92BF1CFDFAE8}">
      <dsp:nvSpPr>
        <dsp:cNvPr id="5" name="任意多边形 4"/>
        <dsp:cNvSpPr/>
      </dsp:nvSpPr>
      <dsp:spPr bwMode="white">
        <a:xfrm>
          <a:off x="532228" y="230854"/>
          <a:ext cx="2044411" cy="208763"/>
        </a:xfrm>
        <a:custGeom>
          <a:avLst/>
          <a:gdLst/>
          <a:ahLst/>
          <a:cxnLst/>
          <a:pathLst>
            <a:path w="3220" h="329">
              <a:moveTo>
                <a:pt x="3220" y="0"/>
              </a:moveTo>
              <a:lnTo>
                <a:pt x="3220" y="170"/>
              </a:lnTo>
              <a:lnTo>
                <a:pt x="0" y="170"/>
              </a:lnTo>
              <a:lnTo>
                <a:pt x="0" y="329"/>
              </a:lnTo>
            </a:path>
          </a:pathLst>
        </a:custGeom>
      </dsp:spPr>
      <dsp:style>
        <a:lnRef idx="2">
          <a:schemeClr val="accent1">
            <a:shade val="60000"/>
          </a:schemeClr>
        </a:lnRef>
        <a:fillRef idx="0">
          <a:schemeClr val="accent1"/>
        </a:fillRef>
        <a:effectRef idx="0">
          <a:scrgbClr r="0" g="0" b="0"/>
        </a:effectRef>
        <a:fontRef idx="minor"/>
      </dsp:style>
      <dsp:txXfrm>
        <a:off x="532228" y="230854"/>
        <a:ext cx="2044411" cy="208763"/>
      </dsp:txXfrm>
    </dsp:sp>
    <dsp:sp modelId="{1B822B5F-7650-497C-80A3-83AAD1B684C1}">
      <dsp:nvSpPr>
        <dsp:cNvPr id="8" name="任意多边形 7"/>
        <dsp:cNvSpPr/>
      </dsp:nvSpPr>
      <dsp:spPr bwMode="white">
        <a:xfrm>
          <a:off x="450936" y="656975"/>
          <a:ext cx="81292" cy="208763"/>
        </a:xfrm>
        <a:custGeom>
          <a:avLst/>
          <a:gdLst/>
          <a:ahLst/>
          <a:cxnLst/>
          <a:pathLst>
            <a:path w="128" h="329">
              <a:moveTo>
                <a:pt x="128" y="0"/>
              </a:moveTo>
              <a:lnTo>
                <a:pt x="128" y="170"/>
              </a:lnTo>
              <a:lnTo>
                <a:pt x="0" y="170"/>
              </a:lnTo>
              <a:lnTo>
                <a:pt x="0" y="329"/>
              </a:lnTo>
            </a:path>
          </a:pathLst>
        </a:custGeom>
      </dsp:spPr>
      <dsp:style>
        <a:lnRef idx="2">
          <a:schemeClr val="accent1">
            <a:shade val="80000"/>
          </a:schemeClr>
        </a:lnRef>
        <a:fillRef idx="0">
          <a:schemeClr val="accent1"/>
        </a:fillRef>
        <a:effectRef idx="0">
          <a:scrgbClr r="0" g="0" b="0"/>
        </a:effectRef>
        <a:fontRef idx="minor"/>
      </dsp:style>
      <dsp:txXfrm>
        <a:off x="450936" y="656975"/>
        <a:ext cx="81292" cy="208763"/>
      </dsp:txXfrm>
    </dsp:sp>
    <dsp:sp modelId="{70DB1061-DA92-4D8C-BD51-AFC461A39D1F}">
      <dsp:nvSpPr>
        <dsp:cNvPr id="11" name="任意多边形 10"/>
        <dsp:cNvSpPr/>
      </dsp:nvSpPr>
      <dsp:spPr bwMode="white">
        <a:xfrm>
          <a:off x="1774782" y="230854"/>
          <a:ext cx="801857" cy="272330"/>
        </a:xfrm>
        <a:custGeom>
          <a:avLst/>
          <a:gdLst/>
          <a:ahLst/>
          <a:cxnLst/>
          <a:pathLst>
            <a:path w="1263" h="429">
              <a:moveTo>
                <a:pt x="1263" y="0"/>
              </a:moveTo>
              <a:lnTo>
                <a:pt x="1263" y="270"/>
              </a:lnTo>
              <a:lnTo>
                <a:pt x="0" y="270"/>
              </a:lnTo>
              <a:lnTo>
                <a:pt x="0" y="429"/>
              </a:lnTo>
            </a:path>
          </a:pathLst>
        </a:custGeom>
      </dsp:spPr>
      <dsp:style>
        <a:lnRef idx="2">
          <a:schemeClr val="accent1">
            <a:shade val="60000"/>
          </a:schemeClr>
        </a:lnRef>
        <a:fillRef idx="0">
          <a:schemeClr val="accent1"/>
        </a:fillRef>
        <a:effectRef idx="0">
          <a:scrgbClr r="0" g="0" b="0"/>
        </a:effectRef>
        <a:fontRef idx="minor"/>
      </dsp:style>
      <dsp:txXfrm>
        <a:off x="1774782" y="230854"/>
        <a:ext cx="801857" cy="272330"/>
      </dsp:txXfrm>
    </dsp:sp>
    <dsp:sp modelId="{3189C7E7-5376-4DBB-8288-06AE8D890817}">
      <dsp:nvSpPr>
        <dsp:cNvPr id="14" name="任意多边形 13"/>
        <dsp:cNvSpPr/>
      </dsp:nvSpPr>
      <dsp:spPr bwMode="white">
        <a:xfrm>
          <a:off x="1513993" y="693061"/>
          <a:ext cx="260789" cy="425118"/>
        </a:xfrm>
        <a:custGeom>
          <a:avLst/>
          <a:gdLst/>
          <a:ahLst/>
          <a:cxnLst/>
          <a:pathLst>
            <a:path w="411" h="669">
              <a:moveTo>
                <a:pt x="411" y="0"/>
              </a:moveTo>
              <a:lnTo>
                <a:pt x="411" y="511"/>
              </a:lnTo>
              <a:lnTo>
                <a:pt x="0" y="511"/>
              </a:lnTo>
              <a:lnTo>
                <a:pt x="0" y="669"/>
              </a:lnTo>
            </a:path>
          </a:pathLst>
        </a:custGeom>
      </dsp:spPr>
      <dsp:style>
        <a:lnRef idx="2">
          <a:schemeClr val="accent1">
            <a:shade val="80000"/>
          </a:schemeClr>
        </a:lnRef>
        <a:fillRef idx="0">
          <a:schemeClr val="accent1"/>
        </a:fillRef>
        <a:effectRef idx="0">
          <a:scrgbClr r="0" g="0" b="0"/>
        </a:effectRef>
        <a:fontRef idx="minor"/>
      </dsp:style>
      <dsp:txXfrm>
        <a:off x="1513993" y="693061"/>
        <a:ext cx="260789" cy="425118"/>
      </dsp:txXfrm>
    </dsp:sp>
    <dsp:sp modelId="{C924290A-B2A3-491F-93B6-C7BEA1998E91}">
      <dsp:nvSpPr>
        <dsp:cNvPr id="17" name="任意多边形 16"/>
        <dsp:cNvSpPr/>
      </dsp:nvSpPr>
      <dsp:spPr bwMode="white">
        <a:xfrm>
          <a:off x="1774782" y="693061"/>
          <a:ext cx="1017131" cy="416640"/>
        </a:xfrm>
        <a:custGeom>
          <a:avLst/>
          <a:gdLst/>
          <a:ahLst/>
          <a:cxnLst/>
          <a:pathLst>
            <a:path w="1602" h="656">
              <a:moveTo>
                <a:pt x="0" y="0"/>
              </a:moveTo>
              <a:lnTo>
                <a:pt x="0" y="498"/>
              </a:lnTo>
              <a:lnTo>
                <a:pt x="1602" y="498"/>
              </a:lnTo>
              <a:lnTo>
                <a:pt x="1602" y="656"/>
              </a:lnTo>
            </a:path>
          </a:pathLst>
        </a:custGeom>
      </dsp:spPr>
      <dsp:style>
        <a:lnRef idx="2">
          <a:schemeClr val="accent1">
            <a:shade val="80000"/>
          </a:schemeClr>
        </a:lnRef>
        <a:fillRef idx="0">
          <a:schemeClr val="accent1"/>
        </a:fillRef>
        <a:effectRef idx="0">
          <a:scrgbClr r="0" g="0" b="0"/>
        </a:effectRef>
        <a:fontRef idx="minor"/>
      </dsp:style>
      <dsp:txXfrm>
        <a:off x="1774782" y="693061"/>
        <a:ext cx="1017131" cy="416640"/>
      </dsp:txXfrm>
    </dsp:sp>
    <dsp:sp modelId="{9F3A08B6-8064-461E-8246-B9A2A9FED7B1}">
      <dsp:nvSpPr>
        <dsp:cNvPr id="20" name="任意多边形 19"/>
        <dsp:cNvSpPr/>
      </dsp:nvSpPr>
      <dsp:spPr bwMode="white">
        <a:xfrm>
          <a:off x="2576639" y="230854"/>
          <a:ext cx="1754394" cy="254303"/>
        </a:xfrm>
        <a:custGeom>
          <a:avLst/>
          <a:gdLst/>
          <a:ahLst/>
          <a:cxnLst/>
          <a:pathLst>
            <a:path w="2763" h="400">
              <a:moveTo>
                <a:pt x="0" y="0"/>
              </a:moveTo>
              <a:lnTo>
                <a:pt x="0" y="242"/>
              </a:lnTo>
              <a:lnTo>
                <a:pt x="2763" y="242"/>
              </a:lnTo>
              <a:lnTo>
                <a:pt x="2763" y="400"/>
              </a:lnTo>
            </a:path>
          </a:pathLst>
        </a:custGeom>
      </dsp:spPr>
      <dsp:style>
        <a:lnRef idx="2">
          <a:schemeClr val="accent1">
            <a:shade val="60000"/>
          </a:schemeClr>
        </a:lnRef>
        <a:fillRef idx="0">
          <a:schemeClr val="accent1"/>
        </a:fillRef>
        <a:effectRef idx="0">
          <a:scrgbClr r="0" g="0" b="0"/>
        </a:effectRef>
        <a:fontRef idx="minor"/>
      </dsp:style>
      <dsp:txXfrm>
        <a:off x="2576639" y="230854"/>
        <a:ext cx="1754394" cy="254303"/>
      </dsp:txXfrm>
    </dsp:sp>
    <dsp:sp modelId="{79475490-A900-4E73-A210-94368ACAC88F}">
      <dsp:nvSpPr>
        <dsp:cNvPr id="3" name="圆角矩形 2"/>
        <dsp:cNvSpPr/>
      </dsp:nvSpPr>
      <dsp:spPr bwMode="white">
        <a:xfrm>
          <a:off x="1609364" y="0"/>
          <a:ext cx="1934550" cy="230854"/>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1609364" y="0"/>
        <a:ext cx="1934550" cy="230854"/>
      </dsp:txXfrm>
    </dsp:sp>
    <dsp:sp modelId="{E83FB16B-2E72-4BB7-8E8D-7DF53A000A77}">
      <dsp:nvSpPr>
        <dsp:cNvPr id="4" name="圆角矩形 3"/>
        <dsp:cNvSpPr/>
      </dsp:nvSpPr>
      <dsp:spPr bwMode="white">
        <a:xfrm>
          <a:off x="1689121" y="75769"/>
          <a:ext cx="1934550" cy="230854"/>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厦门市国贸协和双语高中课程</a:t>
          </a:r>
          <a:endParaRPr>
            <a:solidFill>
              <a:schemeClr val="dk1"/>
            </a:solidFill>
          </a:endParaRPr>
        </a:p>
      </dsp:txBody>
      <dsp:txXfrm>
        <a:off x="1689121" y="75769"/>
        <a:ext cx="1934550" cy="230854"/>
      </dsp:txXfrm>
    </dsp:sp>
    <dsp:sp modelId="{DC4A16A5-8718-4341-A135-3AB6D59FBB71}">
      <dsp:nvSpPr>
        <dsp:cNvPr id="6" name="圆角矩形 5"/>
        <dsp:cNvSpPr/>
      </dsp:nvSpPr>
      <dsp:spPr bwMode="white">
        <a:xfrm>
          <a:off x="25780" y="439617"/>
          <a:ext cx="1012895" cy="217357"/>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25780" y="439617"/>
        <a:ext cx="1012895" cy="217357"/>
      </dsp:txXfrm>
    </dsp:sp>
    <dsp:sp modelId="{86C44B34-A88D-4833-9835-640111E4D004}">
      <dsp:nvSpPr>
        <dsp:cNvPr id="7" name="圆角矩形 6"/>
        <dsp:cNvSpPr/>
      </dsp:nvSpPr>
      <dsp:spPr bwMode="white">
        <a:xfrm>
          <a:off x="105537" y="515386"/>
          <a:ext cx="1012895" cy="217357"/>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必修课程</a:t>
          </a:r>
          <a:r>
            <a:rPr lang="en-US" altLang="zh-CN" sz="1000">
              <a:solidFill>
                <a:schemeClr val="dk1"/>
              </a:solidFill>
            </a:rPr>
            <a:t>1</a:t>
          </a:r>
          <a:endParaRPr lang="zh-CN" altLang="en-US" sz="1000">
            <a:solidFill>
              <a:schemeClr val="dk1"/>
            </a:solidFill>
          </a:endParaRPr>
        </a:p>
      </dsp:txBody>
      <dsp:txXfrm>
        <a:off x="105537" y="515386"/>
        <a:ext cx="1012895" cy="217357"/>
      </dsp:txXfrm>
    </dsp:sp>
    <dsp:sp modelId="{FA6934DC-5121-4BAE-B1A0-081DBE0F7147}">
      <dsp:nvSpPr>
        <dsp:cNvPr id="9" name="圆角矩形 8"/>
        <dsp:cNvSpPr/>
      </dsp:nvSpPr>
      <dsp:spPr bwMode="white">
        <a:xfrm>
          <a:off x="-31799" y="865738"/>
          <a:ext cx="965470" cy="787598"/>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31799" y="865738"/>
        <a:ext cx="965470" cy="787598"/>
      </dsp:txXfrm>
    </dsp:sp>
    <dsp:sp modelId="{B9F436CC-7B38-437E-9C19-95351EC86A14}">
      <dsp:nvSpPr>
        <dsp:cNvPr id="10" name="圆角矩形 9"/>
        <dsp:cNvSpPr/>
      </dsp:nvSpPr>
      <dsp:spPr bwMode="white">
        <a:xfrm>
          <a:off x="47958" y="941507"/>
          <a:ext cx="965470" cy="787598"/>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国家基础课程</a:t>
          </a:r>
          <a:endParaRPr lang="zh-CN" altLang="en-US" sz="1000">
            <a:solidFill>
              <a:schemeClr val="dk1"/>
            </a:solidFill>
          </a:endParaRPr>
        </a:p>
        <a:p>
          <a:pPr lvl="0">
            <a:lnSpc>
              <a:spcPct val="100000"/>
            </a:lnSpc>
            <a:spcBef>
              <a:spcPct val="0"/>
            </a:spcBef>
            <a:spcAft>
              <a:spcPct val="35000"/>
            </a:spcAft>
          </a:pPr>
          <a:r>
            <a:rPr lang="zh-CN" altLang="en-US" sz="1000">
              <a:solidFill>
                <a:schemeClr val="dk1"/>
              </a:solidFill>
            </a:rPr>
            <a:t>双语理科课程</a:t>
          </a:r>
          <a:endParaRPr lang="zh-CN" altLang="en-US" sz="1000">
            <a:solidFill>
              <a:schemeClr val="dk1"/>
            </a:solidFill>
          </a:endParaRPr>
        </a:p>
        <a:p>
          <a:pPr lvl="0">
            <a:lnSpc>
              <a:spcPct val="100000"/>
            </a:lnSpc>
            <a:spcBef>
              <a:spcPct val="0"/>
            </a:spcBef>
            <a:spcAft>
              <a:spcPct val="35000"/>
            </a:spcAft>
          </a:pPr>
          <a:endParaRPr lang="en-US" altLang="zh-CN" sz="1000">
            <a:solidFill>
              <a:schemeClr val="dk1"/>
            </a:solidFill>
          </a:endParaRPr>
        </a:p>
      </dsp:txBody>
      <dsp:txXfrm>
        <a:off x="47958" y="941507"/>
        <a:ext cx="965470" cy="787598"/>
      </dsp:txXfrm>
    </dsp:sp>
    <dsp:sp modelId="{37063F74-C41E-4086-BF75-79721E8FEF56}">
      <dsp:nvSpPr>
        <dsp:cNvPr id="12" name="圆角矩形 11"/>
        <dsp:cNvSpPr/>
      </dsp:nvSpPr>
      <dsp:spPr bwMode="white">
        <a:xfrm>
          <a:off x="1303719" y="503184"/>
          <a:ext cx="942126" cy="189877"/>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1303719" y="503184"/>
        <a:ext cx="942126" cy="189877"/>
      </dsp:txXfrm>
    </dsp:sp>
    <dsp:sp modelId="{3C50B9D1-3981-4C57-B3A2-A2C17F1753F1}">
      <dsp:nvSpPr>
        <dsp:cNvPr id="13" name="圆角矩形 12"/>
        <dsp:cNvSpPr/>
      </dsp:nvSpPr>
      <dsp:spPr bwMode="white">
        <a:xfrm>
          <a:off x="1383475" y="578953"/>
          <a:ext cx="942126" cy="189877"/>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 必修课程</a:t>
          </a:r>
          <a:r>
            <a:rPr lang="en-US" altLang="zh-CN" sz="1000">
              <a:solidFill>
                <a:schemeClr val="dk1"/>
              </a:solidFill>
            </a:rPr>
            <a:t>2</a:t>
          </a:r>
          <a:r>
            <a:rPr lang="zh-CN" altLang="en-US" sz="1000">
              <a:solidFill>
                <a:schemeClr val="dk1"/>
              </a:solidFill>
            </a:rPr>
            <a:t> </a:t>
          </a:r>
          <a:endParaRPr>
            <a:solidFill>
              <a:schemeClr val="dk1"/>
            </a:solidFill>
          </a:endParaRPr>
        </a:p>
      </dsp:txBody>
      <dsp:txXfrm>
        <a:off x="1383475" y="578953"/>
        <a:ext cx="942126" cy="189877"/>
      </dsp:txXfrm>
    </dsp:sp>
    <dsp:sp modelId="{01B01B93-57E1-4EE3-83DC-B222273CDC7B}">
      <dsp:nvSpPr>
        <dsp:cNvPr id="15" name="圆角矩形 14"/>
        <dsp:cNvSpPr/>
      </dsp:nvSpPr>
      <dsp:spPr bwMode="white">
        <a:xfrm>
          <a:off x="1043619" y="1118179"/>
          <a:ext cx="940748" cy="454292"/>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1043619" y="1118179"/>
        <a:ext cx="940748" cy="454292"/>
      </dsp:txXfrm>
    </dsp:sp>
    <dsp:sp modelId="{A3995EBC-B5AC-440B-BBB0-EAB211560EB1}">
      <dsp:nvSpPr>
        <dsp:cNvPr id="16" name="圆角矩形 15"/>
        <dsp:cNvSpPr/>
      </dsp:nvSpPr>
      <dsp:spPr bwMode="white">
        <a:xfrm>
          <a:off x="1123376" y="1193948"/>
          <a:ext cx="940748" cy="454292"/>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选课</a:t>
          </a:r>
          <a:r>
            <a:rPr lang="en-US" altLang="zh-CN" sz="1000">
              <a:solidFill>
                <a:schemeClr val="dk1"/>
              </a:solidFill>
            </a:rPr>
            <a:t>I</a:t>
          </a:r>
          <a:endParaRPr>
            <a:solidFill>
              <a:schemeClr val="dk1"/>
            </a:solidFill>
          </a:endParaRPr>
        </a:p>
      </dsp:txBody>
      <dsp:txXfrm>
        <a:off x="1123376" y="1193948"/>
        <a:ext cx="940748" cy="454292"/>
      </dsp:txXfrm>
    </dsp:sp>
    <dsp:sp modelId="{D521534C-C91B-487D-B108-C801D47B726B}">
      <dsp:nvSpPr>
        <dsp:cNvPr id="18" name="圆角矩形 17"/>
        <dsp:cNvSpPr/>
      </dsp:nvSpPr>
      <dsp:spPr bwMode="white">
        <a:xfrm>
          <a:off x="2241754" y="1109701"/>
          <a:ext cx="1100318" cy="38469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2241754" y="1109701"/>
        <a:ext cx="1100318" cy="384690"/>
      </dsp:txXfrm>
    </dsp:sp>
    <dsp:sp modelId="{89725447-4460-4CD3-96A9-D7E93020D5BD}">
      <dsp:nvSpPr>
        <dsp:cNvPr id="19" name="圆角矩形 18"/>
        <dsp:cNvSpPr/>
      </dsp:nvSpPr>
      <dsp:spPr bwMode="white">
        <a:xfrm>
          <a:off x="2321511" y="1185470"/>
          <a:ext cx="1100318" cy="38469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选课</a:t>
          </a:r>
          <a:r>
            <a:rPr lang="en-US" altLang="zh-CN" sz="1000">
              <a:solidFill>
                <a:schemeClr val="dk1"/>
              </a:solidFill>
            </a:rPr>
            <a:t>2</a:t>
          </a:r>
          <a:endParaRPr>
            <a:solidFill>
              <a:schemeClr val="dk1"/>
            </a:solidFill>
          </a:endParaRPr>
        </a:p>
      </dsp:txBody>
      <dsp:txXfrm>
        <a:off x="2321511" y="1185470"/>
        <a:ext cx="1100318" cy="384690"/>
      </dsp:txXfrm>
    </dsp:sp>
    <dsp:sp modelId="{B30ED488-1951-4F4C-BC70-2D2070899C77}">
      <dsp:nvSpPr>
        <dsp:cNvPr id="21" name="圆角矩形 20"/>
        <dsp:cNvSpPr/>
      </dsp:nvSpPr>
      <dsp:spPr bwMode="white">
        <a:xfrm>
          <a:off x="3534569" y="485157"/>
          <a:ext cx="1592929" cy="1107034"/>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3534569" y="485157"/>
        <a:ext cx="1592929" cy="1107034"/>
      </dsp:txXfrm>
    </dsp:sp>
    <dsp:sp modelId="{90AEB7D8-DFCF-464A-9156-E2F7FF9A77AC}">
      <dsp:nvSpPr>
        <dsp:cNvPr id="22" name="圆角矩形 21"/>
        <dsp:cNvSpPr/>
      </dsp:nvSpPr>
      <dsp:spPr bwMode="white">
        <a:xfrm>
          <a:off x="3614325" y="560926"/>
          <a:ext cx="1592929" cy="1107034"/>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选修课程</a:t>
          </a:r>
          <a:r>
            <a:rPr lang="en-US" altLang="zh-CN" sz="1000">
              <a:solidFill>
                <a:schemeClr val="dk1"/>
              </a:solidFill>
            </a:rPr>
            <a:t>2</a:t>
          </a:r>
          <a:r>
            <a:rPr lang="zh-CN" altLang="en-US" sz="1000">
              <a:solidFill>
                <a:schemeClr val="dk1"/>
              </a:solidFill>
            </a:rPr>
            <a:t> 校本课程</a:t>
          </a:r>
          <a:endParaRPr lang="zh-CN" altLang="en-US" sz="1000">
            <a:solidFill>
              <a:schemeClr val="dk1"/>
            </a:solidFill>
          </a:endParaRPr>
        </a:p>
        <a:p>
          <a:pPr lvl="0">
            <a:lnSpc>
              <a:spcPct val="100000"/>
            </a:lnSpc>
            <a:spcBef>
              <a:spcPct val="0"/>
            </a:spcBef>
            <a:spcAft>
              <a:spcPct val="35000"/>
            </a:spcAft>
          </a:pPr>
          <a:r>
            <a:rPr lang="zh-CN" altLang="en-US" sz="1000">
              <a:solidFill>
                <a:schemeClr val="dk1"/>
              </a:solidFill>
            </a:rPr>
            <a:t>（升学指导、研究性学习、社区实践与社会服务、德育课程）</a:t>
          </a:r>
          <a:endParaRPr lang="en-US" altLang="zh-CN" sz="1000">
            <a:solidFill>
              <a:schemeClr val="dk1"/>
            </a:solidFill>
          </a:endParaRPr>
        </a:p>
        <a:p>
          <a:pPr lvl="0">
            <a:lnSpc>
              <a:spcPct val="100000"/>
            </a:lnSpc>
            <a:spcBef>
              <a:spcPct val="0"/>
            </a:spcBef>
            <a:spcAft>
              <a:spcPct val="35000"/>
            </a:spcAft>
          </a:pPr>
          <a:endParaRPr lang="zh-CN" altLang="en-US" sz="1000">
            <a:solidFill>
              <a:schemeClr val="dk1"/>
            </a:solidFill>
          </a:endParaRPr>
        </a:p>
      </dsp:txBody>
      <dsp:txXfrm>
        <a:off x="3614325" y="560926"/>
        <a:ext cx="1592929" cy="1107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732780" cy="728345"/>
        <a:chOff x="0" y="0"/>
        <a:chExt cx="5732780" cy="728345"/>
      </a:xfrm>
    </dsp:grpSpPr>
    <dsp:sp modelId="{7EEE35CF-01DC-4249-8E1B-4844918F33D1}">
      <dsp:nvSpPr>
        <dsp:cNvPr id="3" name="圆角矩形 2"/>
        <dsp:cNvSpPr/>
      </dsp:nvSpPr>
      <dsp:spPr bwMode="white">
        <a:xfrm>
          <a:off x="0" y="0"/>
          <a:ext cx="1819930" cy="728345"/>
        </a:xfrm>
        <a:prstGeom prst="roundRect">
          <a:avLst>
            <a:gd name="adj" fmla="val 10000"/>
          </a:avLst>
        </a:prstGeom>
      </dsp:spPr>
      <dsp:style>
        <a:lnRef idx="0">
          <a:schemeClr val="dk1"/>
        </a:lnRef>
        <a:fillRef idx="1">
          <a:schemeClr val="accent3">
            <a:tint val="4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国家基础课程</a:t>
          </a:r>
          <a:r>
            <a:rPr lang="en-US" altLang="zh-CN" sz="1000">
              <a:solidFill>
                <a:schemeClr val="dk1"/>
              </a:solidFill>
            </a:rPr>
            <a:t>-</a:t>
          </a:r>
          <a:r>
            <a:rPr lang="zh-CN" altLang="en-US" sz="1000">
              <a:solidFill>
                <a:schemeClr val="dk1"/>
              </a:solidFill>
            </a:rPr>
            <a:t>人文类</a:t>
          </a:r>
          <a:endParaRPr>
            <a:solidFill>
              <a:schemeClr val="dk1"/>
            </a:solidFill>
          </a:endParaRPr>
        </a:p>
      </dsp:txBody>
      <dsp:txXfrm>
        <a:off x="0" y="0"/>
        <a:ext cx="1819930" cy="728345"/>
      </dsp:txXfrm>
    </dsp:sp>
    <dsp:sp modelId="{DA61FF3A-B7E5-4514-8A62-B265B9C154FD}">
      <dsp:nvSpPr>
        <dsp:cNvPr id="4" name="圆角矩形 3"/>
        <dsp:cNvSpPr/>
      </dsp:nvSpPr>
      <dsp:spPr bwMode="white">
        <a:xfrm>
          <a:off x="181993" y="218503"/>
          <a:ext cx="1455944" cy="473424"/>
        </a:xfrm>
        <a:prstGeom prst="roundRect">
          <a:avLst>
            <a:gd name="adj" fmla="val 10000"/>
          </a:avLst>
        </a:prstGeom>
      </dsp:spPr>
      <dsp:style>
        <a:lnRef idx="3">
          <a:schemeClr val="lt1"/>
        </a:lnRef>
        <a:fillRef idx="1">
          <a:schemeClr val="accent3">
            <a:hueOff val="0"/>
            <a:satOff val="0"/>
            <a:lumOff val="0"/>
            <a:alpha val="100000"/>
          </a:schemeClr>
        </a:fillRef>
        <a:effectRef idx="1">
          <a:scrgbClr r="0" g="0" b="0"/>
        </a:effectRef>
        <a:fontRef idx="minor">
          <a:schemeClr val="lt1"/>
        </a:fontRef>
      </dsp:style>
      <dsp:txBody>
        <a:bodyPr lIns="25400" tIns="19050" rIns="254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rgbClr val="000000"/>
              </a:solidFill>
            </a:rPr>
            <a:t>语文、历史、地理、政治</a:t>
          </a:r>
        </a:p>
      </dsp:txBody>
      <dsp:txXfrm>
        <a:off x="181993" y="218503"/>
        <a:ext cx="1455944" cy="473424"/>
      </dsp:txXfrm>
    </dsp:sp>
    <dsp:sp modelId="{0D74859E-A81B-471F-9B2A-F373E8A216D2}">
      <dsp:nvSpPr>
        <dsp:cNvPr id="5" name="圆角矩形 4"/>
        <dsp:cNvSpPr/>
      </dsp:nvSpPr>
      <dsp:spPr bwMode="white">
        <a:xfrm>
          <a:off x="1956425" y="0"/>
          <a:ext cx="1819930" cy="728345"/>
        </a:xfrm>
        <a:prstGeom prst="roundRect">
          <a:avLst>
            <a:gd name="adj" fmla="val 10000"/>
          </a:avLst>
        </a:prstGeom>
      </dsp:spPr>
      <dsp:style>
        <a:lnRef idx="0">
          <a:schemeClr val="dk1"/>
        </a:lnRef>
        <a:fillRef idx="1">
          <a:schemeClr val="accent3">
            <a:tint val="4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国家基础课程</a:t>
          </a:r>
          <a:r>
            <a:rPr lang="en-US" altLang="zh-CN" sz="1000">
              <a:solidFill>
                <a:schemeClr val="dk1"/>
              </a:solidFill>
            </a:rPr>
            <a:t>-</a:t>
          </a:r>
          <a:r>
            <a:rPr lang="zh-CN" altLang="en-US" sz="1000">
              <a:solidFill>
                <a:schemeClr val="dk1"/>
              </a:solidFill>
            </a:rPr>
            <a:t>科学类</a:t>
          </a:r>
          <a:endParaRPr>
            <a:solidFill>
              <a:schemeClr val="dk1"/>
            </a:solidFill>
          </a:endParaRPr>
        </a:p>
      </dsp:txBody>
      <dsp:txXfrm>
        <a:off x="1956425" y="0"/>
        <a:ext cx="1819930" cy="728345"/>
      </dsp:txXfrm>
    </dsp:sp>
    <dsp:sp modelId="{EC9EF7C5-A034-4FB5-91E8-10E4C33BC99E}">
      <dsp:nvSpPr>
        <dsp:cNvPr id="6" name="圆角矩形 5"/>
        <dsp:cNvSpPr/>
      </dsp:nvSpPr>
      <dsp:spPr bwMode="white">
        <a:xfrm>
          <a:off x="2138418" y="218503"/>
          <a:ext cx="1455944" cy="473424"/>
        </a:xfrm>
        <a:prstGeom prst="roundRect">
          <a:avLst>
            <a:gd name="adj" fmla="val 10000"/>
          </a:avLst>
        </a:prstGeom>
      </dsp:spPr>
      <dsp:style>
        <a:lnRef idx="3">
          <a:schemeClr val="lt1"/>
        </a:lnRef>
        <a:fillRef idx="1">
          <a:schemeClr val="accent3">
            <a:hueOff val="5640000"/>
            <a:satOff val="-8430"/>
            <a:lumOff val="-1372"/>
            <a:alpha val="100000"/>
          </a:schemeClr>
        </a:fillRef>
        <a:effectRef idx="1">
          <a:scrgbClr r="0" g="0" b="0"/>
        </a:effectRef>
        <a:fontRef idx="minor">
          <a:schemeClr val="lt1"/>
        </a:fontRef>
      </dsp:style>
      <dsp:txBody>
        <a:bodyPr lIns="25400" tIns="19050" rIns="254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rgbClr val="000000"/>
              </a:solidFill>
            </a:rPr>
            <a:t>数学、物理、化学、生物</a:t>
          </a:r>
        </a:p>
      </dsp:txBody>
      <dsp:txXfrm>
        <a:off x="2138418" y="218503"/>
        <a:ext cx="1455944" cy="473424"/>
      </dsp:txXfrm>
    </dsp:sp>
    <dsp:sp modelId="{FDB00A11-328A-4CFC-9C43-B8502C2889D8}">
      <dsp:nvSpPr>
        <dsp:cNvPr id="7" name="圆角矩形 6"/>
        <dsp:cNvSpPr/>
      </dsp:nvSpPr>
      <dsp:spPr bwMode="white">
        <a:xfrm>
          <a:off x="3912850" y="0"/>
          <a:ext cx="1819930" cy="728345"/>
        </a:xfrm>
        <a:prstGeom prst="roundRect">
          <a:avLst>
            <a:gd name="adj" fmla="val 10000"/>
          </a:avLst>
        </a:prstGeom>
      </dsp:spPr>
      <dsp:style>
        <a:lnRef idx="0">
          <a:schemeClr val="dk1"/>
        </a:lnRef>
        <a:fillRef idx="1">
          <a:schemeClr val="accent3">
            <a:tint val="4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国家基础课程</a:t>
          </a:r>
          <a:r>
            <a:rPr lang="en-US" altLang="zh-CN" sz="1000">
              <a:solidFill>
                <a:schemeClr val="dk1"/>
              </a:solidFill>
            </a:rPr>
            <a:t>-</a:t>
          </a:r>
          <a:r>
            <a:rPr lang="zh-CN" altLang="en-US" sz="1000">
              <a:solidFill>
                <a:schemeClr val="dk1"/>
              </a:solidFill>
            </a:rPr>
            <a:t>其他类</a:t>
          </a:r>
          <a:endParaRPr>
            <a:solidFill>
              <a:schemeClr val="dk1"/>
            </a:solidFill>
          </a:endParaRPr>
        </a:p>
      </dsp:txBody>
      <dsp:txXfrm>
        <a:off x="3912850" y="0"/>
        <a:ext cx="1819930" cy="728345"/>
      </dsp:txXfrm>
    </dsp:sp>
    <dsp:sp modelId="{282976CA-2C52-4838-9A2D-00C81E5B1C34}">
      <dsp:nvSpPr>
        <dsp:cNvPr id="8" name="圆角矩形 7"/>
        <dsp:cNvSpPr/>
      </dsp:nvSpPr>
      <dsp:spPr bwMode="white">
        <a:xfrm>
          <a:off x="4094843" y="218503"/>
          <a:ext cx="1455944" cy="473424"/>
        </a:xfrm>
        <a:prstGeom prst="roundRect">
          <a:avLst>
            <a:gd name="adj" fmla="val 10000"/>
          </a:avLst>
        </a:prstGeom>
      </dsp:spPr>
      <dsp:style>
        <a:lnRef idx="3">
          <a:schemeClr val="lt1"/>
        </a:lnRef>
        <a:fillRef idx="1">
          <a:schemeClr val="accent3">
            <a:hueOff val="11280000"/>
            <a:satOff val="-16862"/>
            <a:lumOff val="-2744"/>
            <a:alpha val="100000"/>
          </a:schemeClr>
        </a:fillRef>
        <a:effectRef idx="1">
          <a:scrgbClr r="0" g="0" b="0"/>
        </a:effectRef>
        <a:fontRef idx="minor">
          <a:schemeClr val="lt1"/>
        </a:fontRef>
      </dsp:style>
      <dsp:txBody>
        <a:bodyPr lIns="25400" tIns="19050" rIns="254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rgbClr val="000000"/>
              </a:solidFill>
            </a:rPr>
            <a:t>通用科技、信息技术、体育、音乐美术等</a:t>
          </a:r>
        </a:p>
      </dsp:txBody>
      <dsp:txXfrm>
        <a:off x="4094843" y="218503"/>
        <a:ext cx="1455944" cy="4734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732780" cy="728345"/>
        <a:chOff x="0" y="0"/>
        <a:chExt cx="5732780" cy="728345"/>
      </a:xfrm>
    </dsp:grpSpPr>
    <dsp:sp modelId="{7EEE35CF-01DC-4249-8E1B-4844918F33D1}">
      <dsp:nvSpPr>
        <dsp:cNvPr id="3" name="圆角矩形 2"/>
        <dsp:cNvSpPr/>
      </dsp:nvSpPr>
      <dsp:spPr bwMode="white">
        <a:xfrm>
          <a:off x="0" y="0"/>
          <a:ext cx="2762786" cy="728345"/>
        </a:xfrm>
        <a:prstGeom prst="roundRect">
          <a:avLst>
            <a:gd name="adj" fmla="val 10000"/>
          </a:avLst>
        </a:prstGeom>
      </dsp:spPr>
      <dsp:style>
        <a:lnRef idx="0">
          <a:schemeClr val="dk1"/>
        </a:lnRef>
        <a:fillRef idx="1">
          <a:schemeClr val="accent4">
            <a:tint val="4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双语大学预科课程</a:t>
          </a:r>
          <a:r>
            <a:rPr lang="en-US" altLang="zh-CN" sz="1000">
              <a:solidFill>
                <a:schemeClr val="dk1"/>
              </a:solidFill>
            </a:rPr>
            <a:t>-</a:t>
          </a:r>
          <a:r>
            <a:rPr lang="zh-CN" altLang="en-US" sz="1000">
              <a:solidFill>
                <a:schemeClr val="dk1"/>
              </a:solidFill>
            </a:rPr>
            <a:t>科学类</a:t>
          </a:r>
          <a:endParaRPr>
            <a:solidFill>
              <a:schemeClr val="dk1"/>
            </a:solidFill>
          </a:endParaRPr>
        </a:p>
      </dsp:txBody>
      <dsp:txXfrm>
        <a:off x="0" y="0"/>
        <a:ext cx="2762786" cy="728345"/>
      </dsp:txXfrm>
    </dsp:sp>
    <dsp:sp modelId="{DA61FF3A-B7E5-4514-8A62-B265B9C154FD}">
      <dsp:nvSpPr>
        <dsp:cNvPr id="4" name="圆角矩形 3"/>
        <dsp:cNvSpPr/>
      </dsp:nvSpPr>
      <dsp:spPr bwMode="white">
        <a:xfrm>
          <a:off x="204948" y="198544"/>
          <a:ext cx="2210228" cy="473424"/>
        </a:xfrm>
        <a:prstGeom prst="roundRect">
          <a:avLst>
            <a:gd name="adj" fmla="val 10000"/>
          </a:avLst>
        </a:prstGeom>
      </dsp:spPr>
      <dsp:style>
        <a:lnRef idx="3">
          <a:schemeClr val="lt1"/>
        </a:lnRef>
        <a:fillRef idx="1">
          <a:schemeClr val="accent4">
            <a:hueOff val="0"/>
            <a:satOff val="0"/>
            <a:lumOff val="0"/>
            <a:alpha val="100000"/>
          </a:schemeClr>
        </a:fillRef>
        <a:effectRef idx="1">
          <a:scrgbClr r="0" g="0" b="0"/>
        </a:effectRef>
        <a:fontRef idx="minor">
          <a:schemeClr val="lt1"/>
        </a:fontRef>
      </dsp:style>
      <dsp:txBody>
        <a:bodyPr lIns="25400" tIns="19050" rIns="254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rgbClr val="000000"/>
              </a:solidFill>
            </a:rPr>
            <a:t>数学、物理、生物、化学</a:t>
          </a:r>
        </a:p>
      </dsp:txBody>
      <dsp:txXfrm>
        <a:off x="204948" y="198544"/>
        <a:ext cx="2210228" cy="473424"/>
      </dsp:txXfrm>
    </dsp:sp>
    <dsp:sp modelId="{0D74859E-A81B-471F-9B2A-F373E8A216D2}">
      <dsp:nvSpPr>
        <dsp:cNvPr id="5" name="圆角矩形 4"/>
        <dsp:cNvSpPr/>
      </dsp:nvSpPr>
      <dsp:spPr bwMode="white">
        <a:xfrm>
          <a:off x="2969994" y="0"/>
          <a:ext cx="2762786" cy="728345"/>
        </a:xfrm>
        <a:prstGeom prst="roundRect">
          <a:avLst>
            <a:gd name="adj" fmla="val 10000"/>
          </a:avLst>
        </a:prstGeom>
      </dsp:spPr>
      <dsp:style>
        <a:lnRef idx="0">
          <a:schemeClr val="dk1"/>
        </a:lnRef>
        <a:fillRef idx="1">
          <a:schemeClr val="accent4">
            <a:tint val="40000"/>
          </a:schemeClr>
        </a:fillRef>
        <a:effectRef idx="0">
          <a:scrgbClr r="0" g="0" b="0"/>
        </a:effectRef>
        <a:fontRef idx="minor"/>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chemeClr val="dk1"/>
              </a:solidFill>
            </a:rPr>
            <a:t>英语（分层教学）</a:t>
          </a:r>
          <a:endParaRPr>
            <a:solidFill>
              <a:schemeClr val="dk1"/>
            </a:solidFill>
          </a:endParaRPr>
        </a:p>
      </dsp:txBody>
      <dsp:txXfrm>
        <a:off x="2969994" y="0"/>
        <a:ext cx="2762786" cy="728345"/>
      </dsp:txXfrm>
    </dsp:sp>
    <dsp:sp modelId="{EC9EF7C5-A034-4FB5-91E8-10E4C33BC99E}">
      <dsp:nvSpPr>
        <dsp:cNvPr id="6" name="圆角矩形 5"/>
        <dsp:cNvSpPr/>
      </dsp:nvSpPr>
      <dsp:spPr bwMode="white">
        <a:xfrm>
          <a:off x="3246273" y="218503"/>
          <a:ext cx="2210228" cy="473424"/>
        </a:xfrm>
        <a:prstGeom prst="roundRect">
          <a:avLst>
            <a:gd name="adj" fmla="val 10000"/>
          </a:avLst>
        </a:prstGeom>
      </dsp:spPr>
      <dsp:style>
        <a:lnRef idx="3">
          <a:schemeClr val="lt1"/>
        </a:lnRef>
        <a:fillRef idx="1">
          <a:schemeClr val="accent4">
            <a:hueOff val="-4500000"/>
            <a:satOff val="26667"/>
            <a:lumOff val="2353"/>
            <a:alpha val="100000"/>
          </a:schemeClr>
        </a:fillRef>
        <a:effectRef idx="1">
          <a:scrgbClr r="0" g="0" b="0"/>
        </a:effectRef>
        <a:fontRef idx="minor">
          <a:schemeClr val="lt1"/>
        </a:fontRef>
      </dsp:style>
      <dsp:txBody>
        <a:bodyPr lIns="25400" tIns="19050" rIns="254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rgbClr val="000000"/>
              </a:solidFill>
            </a:rPr>
            <a:t>综合英语与英语强化</a:t>
          </a:r>
        </a:p>
      </dsp:txBody>
      <dsp:txXfrm>
        <a:off x="3246273" y="218503"/>
        <a:ext cx="2210228" cy="4734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925185" cy="1303655"/>
        <a:chOff x="0" y="0"/>
        <a:chExt cx="5925185" cy="1303655"/>
      </a:xfrm>
    </dsp:grpSpPr>
    <dsp:sp modelId="{9FB3587A-561E-403E-8672-3EC4EB165478}">
      <dsp:nvSpPr>
        <dsp:cNvPr id="3" name="圆角矩形 2"/>
        <dsp:cNvSpPr/>
      </dsp:nvSpPr>
      <dsp:spPr bwMode="white">
        <a:xfrm>
          <a:off x="0" y="536531"/>
          <a:ext cx="1061511" cy="241218"/>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rgbClr val="000000"/>
              </a:solidFill>
            </a:rPr>
            <a:t>大学预科课程</a:t>
          </a:r>
        </a:p>
      </dsp:txBody>
      <dsp:txXfrm>
        <a:off x="0" y="536531"/>
        <a:ext cx="1061511" cy="241218"/>
      </dsp:txXfrm>
    </dsp:sp>
    <dsp:sp modelId="{09A5D391-D0F7-44CD-8130-CDE116D2FC49}">
      <dsp:nvSpPr>
        <dsp:cNvPr id="4" name="任意多边形 3"/>
        <dsp:cNvSpPr/>
      </dsp:nvSpPr>
      <dsp:spPr bwMode="white">
        <a:xfrm>
          <a:off x="1031168" y="503007"/>
          <a:ext cx="485290" cy="73283"/>
        </a:xfrm>
        <a:custGeom>
          <a:avLst/>
          <a:gdLst/>
          <a:ahLst/>
          <a:cxnLst/>
          <a:pathLst>
            <a:path w="764" h="115">
              <a:moveTo>
                <a:pt x="48" y="243"/>
              </a:moveTo>
              <a:lnTo>
                <a:pt x="716" y="-127"/>
              </a:lnTo>
            </a:path>
          </a:pathLst>
        </a:custGeom>
      </dsp:spPr>
      <dsp:style>
        <a:lnRef idx="2">
          <a:schemeClr val="accent2"/>
        </a:lnRef>
        <a:fillRef idx="0">
          <a:schemeClr val="accent3">
            <a:tint val="90000"/>
          </a:schemeClr>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000" b="0">
            <a:solidFill>
              <a:schemeClr val="tx1"/>
            </a:solidFill>
          </a:endParaRPr>
        </a:p>
      </dsp:txBody>
      <dsp:txXfrm>
        <a:off x="1031168" y="503007"/>
        <a:ext cx="485290" cy="73283"/>
      </dsp:txXfrm>
    </dsp:sp>
    <dsp:sp modelId="{CE104D51-78F2-4E77-A0A7-D5AF8E950C51}">
      <dsp:nvSpPr>
        <dsp:cNvPr id="5" name="圆角矩形 4"/>
        <dsp:cNvSpPr/>
      </dsp:nvSpPr>
      <dsp:spPr bwMode="white">
        <a:xfrm>
          <a:off x="1486116" y="295462"/>
          <a:ext cx="835208" cy="253388"/>
        </a:xfrm>
        <a:prstGeom prst="roundRect">
          <a:avLst>
            <a:gd name="adj" fmla="val 10000"/>
          </a:avLst>
        </a:prstGeom>
      </dsp:spPr>
      <dsp:style>
        <a:lnRef idx="2">
          <a:schemeClr val="lt1"/>
        </a:lnRef>
        <a:fillRef idx="1">
          <a:schemeClr val="accent2">
            <a:hueOff val="0"/>
            <a:satOff val="0"/>
            <a:lumOff val="0"/>
            <a:alpha val="100000"/>
          </a:schemeClr>
        </a:fillRef>
        <a:effectRef idx="0">
          <a:scrgbClr r="0" g="0" b="0"/>
        </a:effectRef>
        <a:fontRef idx="minor">
          <a:schemeClr val="lt1"/>
        </a:fontRef>
      </dsp:style>
      <dsp:txBody>
        <a:bodyPr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rgbClr val="000000"/>
              </a:solidFill>
            </a:rPr>
            <a:t>选课</a:t>
          </a:r>
          <a:r>
            <a:rPr lang="en-US" altLang="zh-CN" sz="1000" b="0">
              <a:solidFill>
                <a:srgbClr val="000000"/>
              </a:solidFill>
            </a:rPr>
            <a:t>I</a:t>
          </a:r>
          <a:endParaRPr lang="zh-CN" altLang="en-US" sz="1000" b="0">
            <a:solidFill>
              <a:srgbClr val="000000"/>
            </a:solidFill>
          </a:endParaRPr>
        </a:p>
      </dsp:txBody>
      <dsp:txXfrm>
        <a:off x="1486116" y="295462"/>
        <a:ext cx="835208" cy="253388"/>
      </dsp:txXfrm>
    </dsp:sp>
    <dsp:sp modelId="{3850E025-685B-4120-BFD6-4A7BAE84D937}">
      <dsp:nvSpPr>
        <dsp:cNvPr id="6" name="任意多边形 5"/>
        <dsp:cNvSpPr/>
      </dsp:nvSpPr>
      <dsp:spPr bwMode="white">
        <a:xfrm>
          <a:off x="2320899" y="399922"/>
          <a:ext cx="489908" cy="73283"/>
        </a:xfrm>
        <a:custGeom>
          <a:avLst/>
          <a:gdLst/>
          <a:ahLst/>
          <a:cxnLst/>
          <a:pathLst>
            <a:path w="772" h="115">
              <a:moveTo>
                <a:pt x="1" y="35"/>
              </a:moveTo>
              <a:lnTo>
                <a:pt x="771" y="80"/>
              </a:lnTo>
            </a:path>
          </a:pathLst>
        </a:custGeom>
      </dsp:spPr>
      <dsp:style>
        <a:lnRef idx="2">
          <a:schemeClr val="accent3"/>
        </a:lnRef>
        <a:fillRef idx="0">
          <a:schemeClr val="accent4">
            <a:tint val="70000"/>
          </a:schemeClr>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000" b="0">
            <a:solidFill>
              <a:schemeClr val="tx1"/>
            </a:solidFill>
          </a:endParaRPr>
        </a:p>
      </dsp:txBody>
      <dsp:txXfrm>
        <a:off x="2320899" y="399922"/>
        <a:ext cx="489908" cy="73283"/>
      </dsp:txXfrm>
    </dsp:sp>
    <dsp:sp modelId="{8C63A04C-4155-44FE-A38F-8802588A726E}">
      <dsp:nvSpPr>
        <dsp:cNvPr id="7" name="圆角矩形 6"/>
        <dsp:cNvSpPr/>
      </dsp:nvSpPr>
      <dsp:spPr bwMode="white">
        <a:xfrm>
          <a:off x="2810382" y="251280"/>
          <a:ext cx="3114803" cy="399383"/>
        </a:xfrm>
        <a:prstGeom prst="roundRect">
          <a:avLst>
            <a:gd name="adj" fmla="val 10000"/>
          </a:avLst>
        </a:prstGeom>
      </dsp:spPr>
      <dsp:style>
        <a:lnRef idx="2">
          <a:schemeClr val="lt1"/>
        </a:lnRef>
        <a:fillRef idx="1">
          <a:schemeClr val="accent3">
            <a:hueOff val="0"/>
            <a:satOff val="0"/>
            <a:lumOff val="0"/>
            <a:alpha val="100000"/>
          </a:schemeClr>
        </a:fillRef>
        <a:effectRef idx="0">
          <a:scrgbClr r="0" g="0" b="0"/>
        </a:effectRef>
        <a:fontRef idx="minor">
          <a:schemeClr val="lt1"/>
        </a:fontRef>
      </dsp:style>
      <dsp:txBody>
        <a:bodyPr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chemeClr val="tx1"/>
              </a:solidFill>
            </a:rPr>
            <a:t>物理、化学、生物、心理学、音乐、美术等</a:t>
          </a:r>
        </a:p>
      </dsp:txBody>
      <dsp:txXfrm>
        <a:off x="2810382" y="251280"/>
        <a:ext cx="3114803" cy="399383"/>
      </dsp:txXfrm>
    </dsp:sp>
    <dsp:sp modelId="{75CDD403-F35B-481E-9416-64923F2B3C4A}">
      <dsp:nvSpPr>
        <dsp:cNvPr id="8" name="任意多边形 7"/>
        <dsp:cNvSpPr/>
      </dsp:nvSpPr>
      <dsp:spPr bwMode="white">
        <a:xfrm>
          <a:off x="1031361" y="737591"/>
          <a:ext cx="484904" cy="73283"/>
        </a:xfrm>
        <a:custGeom>
          <a:avLst/>
          <a:gdLst/>
          <a:ahLst/>
          <a:cxnLst/>
          <a:pathLst>
            <a:path w="764" h="115">
              <a:moveTo>
                <a:pt x="47" y="-127"/>
              </a:moveTo>
              <a:lnTo>
                <a:pt x="716" y="242"/>
              </a:lnTo>
            </a:path>
          </a:pathLst>
        </a:custGeom>
      </dsp:spPr>
      <dsp:style>
        <a:lnRef idx="2">
          <a:schemeClr val="accent2"/>
        </a:lnRef>
        <a:fillRef idx="0">
          <a:schemeClr val="accent3">
            <a:tint val="90000"/>
          </a:schemeClr>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000" b="0">
            <a:solidFill>
              <a:schemeClr val="tx1"/>
            </a:solidFill>
          </a:endParaRPr>
        </a:p>
      </dsp:txBody>
      <dsp:txXfrm>
        <a:off x="1031361" y="737591"/>
        <a:ext cx="484904" cy="73283"/>
      </dsp:txXfrm>
    </dsp:sp>
    <dsp:sp modelId="{9A1C92F0-B620-4FC9-9008-684DE9FFE629}">
      <dsp:nvSpPr>
        <dsp:cNvPr id="9" name="圆角矩形 8"/>
        <dsp:cNvSpPr/>
      </dsp:nvSpPr>
      <dsp:spPr bwMode="white">
        <a:xfrm>
          <a:off x="1486116" y="763833"/>
          <a:ext cx="871904" cy="254986"/>
        </a:xfrm>
        <a:prstGeom prst="roundRect">
          <a:avLst>
            <a:gd name="adj" fmla="val 10000"/>
          </a:avLst>
        </a:prstGeom>
      </dsp:spPr>
      <dsp:style>
        <a:lnRef idx="2">
          <a:schemeClr val="lt1"/>
        </a:lnRef>
        <a:fillRef idx="1">
          <a:schemeClr val="accent2">
            <a:hueOff val="0"/>
            <a:satOff val="0"/>
            <a:lumOff val="0"/>
            <a:alpha val="100000"/>
          </a:schemeClr>
        </a:fillRef>
        <a:effectRef idx="0">
          <a:scrgbClr r="0" g="0" b="0"/>
        </a:effectRef>
        <a:fontRef idx="minor">
          <a:schemeClr val="lt1"/>
        </a:fontRef>
      </dsp:style>
      <dsp:txBody>
        <a:bodyPr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rgbClr val="000000"/>
              </a:solidFill>
            </a:rPr>
            <a:t>选课</a:t>
          </a:r>
          <a:r>
            <a:rPr lang="en-US" altLang="zh-CN" sz="1000" b="0">
              <a:solidFill>
                <a:srgbClr val="000000"/>
              </a:solidFill>
            </a:rPr>
            <a:t>II</a:t>
          </a:r>
          <a:endParaRPr lang="zh-CN" altLang="en-US" sz="1000" b="0">
            <a:solidFill>
              <a:srgbClr val="000000"/>
            </a:solidFill>
          </a:endParaRPr>
        </a:p>
      </dsp:txBody>
      <dsp:txXfrm>
        <a:off x="1486116" y="763833"/>
        <a:ext cx="871904" cy="254986"/>
      </dsp:txXfrm>
    </dsp:sp>
    <dsp:sp modelId="{22C9D85B-EF63-4B7F-A8E9-7CCDBB1F18C2}">
      <dsp:nvSpPr>
        <dsp:cNvPr id="10" name="任意多边形 9"/>
        <dsp:cNvSpPr/>
      </dsp:nvSpPr>
      <dsp:spPr bwMode="white">
        <a:xfrm>
          <a:off x="2357667" y="866929"/>
          <a:ext cx="425310" cy="73283"/>
        </a:xfrm>
        <a:custGeom>
          <a:avLst/>
          <a:gdLst/>
          <a:ahLst/>
          <a:cxnLst/>
          <a:pathLst>
            <a:path w="670" h="115">
              <a:moveTo>
                <a:pt x="1" y="38"/>
              </a:moveTo>
              <a:lnTo>
                <a:pt x="669" y="77"/>
              </a:lnTo>
            </a:path>
          </a:pathLst>
        </a:custGeom>
      </dsp:spPr>
      <dsp:style>
        <a:lnRef idx="2">
          <a:schemeClr val="accent3"/>
        </a:lnRef>
        <a:fillRef idx="0">
          <a:schemeClr val="accent4">
            <a:tint val="70000"/>
          </a:schemeClr>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000" b="0">
            <a:solidFill>
              <a:schemeClr val="tx1"/>
            </a:solidFill>
          </a:endParaRPr>
        </a:p>
      </dsp:txBody>
      <dsp:txXfrm>
        <a:off x="2357667" y="866929"/>
        <a:ext cx="425310" cy="73283"/>
      </dsp:txXfrm>
    </dsp:sp>
    <dsp:sp modelId="{D4C0BAF5-AEC6-4213-96A1-190002D75479}">
      <dsp:nvSpPr>
        <dsp:cNvPr id="11" name="圆角矩形 10"/>
        <dsp:cNvSpPr/>
      </dsp:nvSpPr>
      <dsp:spPr bwMode="white">
        <a:xfrm>
          <a:off x="2782624" y="725950"/>
          <a:ext cx="3142561" cy="379729"/>
        </a:xfrm>
        <a:prstGeom prst="roundRect">
          <a:avLst>
            <a:gd name="adj" fmla="val 10000"/>
          </a:avLst>
        </a:prstGeom>
      </dsp:spPr>
      <dsp:style>
        <a:lnRef idx="2">
          <a:schemeClr val="lt1"/>
        </a:lnRef>
        <a:fillRef idx="1">
          <a:schemeClr val="accent3">
            <a:hueOff val="0"/>
            <a:satOff val="0"/>
            <a:lumOff val="0"/>
            <a:alpha val="100000"/>
          </a:schemeClr>
        </a:fillRef>
        <a:effectRef idx="0">
          <a:scrgbClr r="0" g="0" b="0"/>
        </a:effectRef>
        <a:fontRef idx="minor">
          <a:schemeClr val="lt1"/>
        </a:fontRef>
      </dsp:style>
      <dsp:txBody>
        <a:bodyPr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chemeClr val="tx1"/>
              </a:solidFill>
            </a:rPr>
            <a:t>社会、经济、信息科学、文化发展等</a:t>
          </a:r>
        </a:p>
      </dsp:txBody>
      <dsp:txXfrm>
        <a:off x="2782624" y="725950"/>
        <a:ext cx="3142561" cy="379729"/>
      </dsp:txXfrm>
    </dsp:sp>
  </dsp:spTree>
</dsp:drawing>
</file>

<file path=word/diagrams/drawing5.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934075" cy="1092200"/>
        <a:chOff x="0" y="0"/>
        <a:chExt cx="5934075" cy="1092200"/>
      </a:xfrm>
    </dsp:grpSpPr>
    <dsp:sp modelId="{8C49CBA9-B15B-430A-856E-50F503594B1E}">
      <dsp:nvSpPr>
        <dsp:cNvPr id="4" name="同侧圆角矩形 3"/>
        <dsp:cNvSpPr/>
      </dsp:nvSpPr>
      <dsp:spPr bwMode="white">
        <a:xfrm rot="5400000">
          <a:off x="3913332" y="-1723494"/>
          <a:ext cx="242175" cy="3799311"/>
        </a:xfrm>
        <a:prstGeom prst="round2SameRect">
          <a:avLst/>
        </a:prstGeom>
      </dsp:spPr>
      <dsp:style>
        <a:lnRef idx="2">
          <a:schemeClr val="accent5">
            <a:tint val="40000"/>
            <a:alpha val="90000"/>
            <a:hueOff val="0"/>
            <a:satOff val="0"/>
            <a:lumOff val="0"/>
            <a:alpha val="90196"/>
          </a:schemeClr>
        </a:lnRef>
        <a:fillRef idx="1">
          <a:schemeClr val="accent5">
            <a:tint val="40000"/>
            <a:alpha val="90000"/>
            <a:hueOff val="0"/>
            <a:satOff val="0"/>
            <a:lumOff val="0"/>
            <a:alpha val="90196"/>
          </a:schemeClr>
        </a:fillRef>
        <a:effectRef idx="0">
          <a:scrgbClr r="0" g="0" b="0"/>
        </a:effectRef>
        <a:fontRef idx="minor"/>
      </dsp:style>
      <dsp:txBody>
        <a:bodyPr rot="-5400000" lIns="38100" tIns="19050" rIns="38100" bIns="19050" anchor="ctr"/>
        <a:lstStyle>
          <a:lvl1pPr algn="l">
            <a:defRPr sz="6500"/>
          </a:lvl1pPr>
          <a:lvl2pPr marL="285750" indent="-285750" algn="l">
            <a:defRPr sz="6500"/>
          </a:lvl2pPr>
          <a:lvl3pPr marL="571500" indent="-285750" algn="l">
            <a:defRPr sz="6500"/>
          </a:lvl3pPr>
          <a:lvl4pPr marL="857250" indent="-285750" algn="l">
            <a:defRPr sz="6500"/>
          </a:lvl4pPr>
          <a:lvl5pPr marL="1143000" indent="-285750" algn="l">
            <a:defRPr sz="6500"/>
          </a:lvl5pPr>
          <a:lvl6pPr marL="1428750" indent="-285750" algn="l">
            <a:defRPr sz="6500"/>
          </a:lvl6pPr>
          <a:lvl7pPr marL="1714500" indent="-285750" algn="l">
            <a:defRPr sz="6500"/>
          </a:lvl7pPr>
          <a:lvl8pPr marL="2000250" indent="-285750" algn="l">
            <a:defRPr sz="6500"/>
          </a:lvl8pPr>
          <a:lvl9pPr marL="2286000" indent="-285750" algn="l">
            <a:defRPr sz="6500"/>
          </a:lvl9pPr>
        </a:lstStyle>
        <a:p>
          <a:pPr marL="57150" lvl="1" indent="-57150">
            <a:lnSpc>
              <a:spcPct val="100000"/>
            </a:lnSpc>
            <a:spcBef>
              <a:spcPct val="0"/>
            </a:spcBef>
            <a:spcAft>
              <a:spcPct val="15000"/>
            </a:spcAft>
            <a:buChar char="•"/>
          </a:pPr>
          <a:r>
            <a:rPr lang="zh-CN" altLang="en-US" sz="1000" b="0">
              <a:solidFill>
                <a:schemeClr val="tx1"/>
              </a:solidFill>
            </a:rPr>
            <a:t>升学指导与生涯规划</a:t>
          </a:r>
          <a:endParaRPr>
            <a:solidFill>
              <a:schemeClr val="dk1"/>
            </a:solidFill>
          </a:endParaRPr>
        </a:p>
      </dsp:txBody>
      <dsp:txXfrm rot="5400000">
        <a:off x="3913332" y="-1723494"/>
        <a:ext cx="242175" cy="3799311"/>
      </dsp:txXfrm>
    </dsp:sp>
    <dsp:sp modelId="{E567978C-F854-4379-ADB5-F45728828900}">
      <dsp:nvSpPr>
        <dsp:cNvPr id="3" name="圆角矩形 2"/>
        <dsp:cNvSpPr/>
      </dsp:nvSpPr>
      <dsp:spPr bwMode="white">
        <a:xfrm>
          <a:off x="0" y="0"/>
          <a:ext cx="2134764" cy="352323"/>
        </a:xfrm>
        <a:prstGeom prst="roundRect">
          <a:avLst/>
        </a:prstGeom>
      </dsp:spPr>
      <dsp:style>
        <a:lnRef idx="2">
          <a:schemeClr val="lt1"/>
        </a:lnRef>
        <a:fillRef idx="1">
          <a:schemeClr val="accent5">
            <a:hueOff val="0"/>
            <a:satOff val="0"/>
            <a:lumOff val="0"/>
            <a:alpha val="100000"/>
          </a:schemeClr>
        </a:fillRef>
        <a:effectRef idx="0">
          <a:scrgbClr r="0" g="0" b="0"/>
        </a:effectRef>
        <a:fontRef idx="minor">
          <a:schemeClr val="lt1"/>
        </a:fontRef>
      </dsp:style>
      <dsp:txBody>
        <a:bodyPr lIns="38100" tIns="19050" rIns="381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rgbClr val="000000"/>
              </a:solidFill>
            </a:rPr>
            <a:t>升学规划课程</a:t>
          </a:r>
        </a:p>
      </dsp:txBody>
      <dsp:txXfrm>
        <a:off x="0" y="0"/>
        <a:ext cx="2134764" cy="352323"/>
      </dsp:txXfrm>
    </dsp:sp>
    <dsp:sp modelId="{20050273-B0B5-4044-8565-52109E6837E5}">
      <dsp:nvSpPr>
        <dsp:cNvPr id="6" name="同侧圆角矩形 5"/>
        <dsp:cNvSpPr/>
      </dsp:nvSpPr>
      <dsp:spPr bwMode="white">
        <a:xfrm rot="5400000">
          <a:off x="3894242" y="-1352804"/>
          <a:ext cx="281858" cy="3797808"/>
        </a:xfrm>
        <a:prstGeom prst="round2SameRect">
          <a:avLst/>
        </a:prstGeom>
      </dsp:spPr>
      <dsp:style>
        <a:lnRef idx="2">
          <a:schemeClr val="accent5">
            <a:tint val="40000"/>
            <a:alpha val="90000"/>
            <a:hueOff val="-5340000"/>
            <a:satOff val="25098"/>
            <a:lumOff val="1765"/>
            <a:alpha val="90196"/>
          </a:schemeClr>
        </a:lnRef>
        <a:fillRef idx="1">
          <a:schemeClr val="accent5">
            <a:tint val="40000"/>
            <a:alpha val="90000"/>
            <a:hueOff val="-5340000"/>
            <a:satOff val="25098"/>
            <a:lumOff val="1765"/>
            <a:alpha val="90196"/>
          </a:schemeClr>
        </a:fillRef>
        <a:effectRef idx="0">
          <a:scrgbClr r="0" g="0" b="0"/>
        </a:effectRef>
        <a:fontRef idx="minor"/>
      </dsp:style>
      <dsp:txBody>
        <a:bodyPr rot="-5400000" lIns="38100" tIns="19050" rIns="38100" bIns="19050" anchor="ctr"/>
        <a:lstStyle>
          <a:lvl1pPr algn="l">
            <a:defRPr sz="6500"/>
          </a:lvl1pPr>
          <a:lvl2pPr marL="285750" indent="-285750" algn="l">
            <a:defRPr sz="6500"/>
          </a:lvl2pPr>
          <a:lvl3pPr marL="571500" indent="-285750" algn="l">
            <a:defRPr sz="6500"/>
          </a:lvl3pPr>
          <a:lvl4pPr marL="857250" indent="-285750" algn="l">
            <a:defRPr sz="6500"/>
          </a:lvl4pPr>
          <a:lvl5pPr marL="1143000" indent="-285750" algn="l">
            <a:defRPr sz="6500"/>
          </a:lvl5pPr>
          <a:lvl6pPr marL="1428750" indent="-285750" algn="l">
            <a:defRPr sz="6500"/>
          </a:lvl6pPr>
          <a:lvl7pPr marL="1714500" indent="-285750" algn="l">
            <a:defRPr sz="6500"/>
          </a:lvl7pPr>
          <a:lvl8pPr marL="2000250" indent="-285750" algn="l">
            <a:defRPr sz="6500"/>
          </a:lvl8pPr>
          <a:lvl9pPr marL="2286000" indent="-285750" algn="l">
            <a:defRPr sz="6500"/>
          </a:lvl9pPr>
        </a:lstStyle>
        <a:p>
          <a:pPr marL="57150" lvl="1" indent="-57150">
            <a:lnSpc>
              <a:spcPct val="100000"/>
            </a:lnSpc>
            <a:spcBef>
              <a:spcPct val="0"/>
            </a:spcBef>
            <a:spcAft>
              <a:spcPct val="15000"/>
            </a:spcAft>
            <a:buChar char="•"/>
          </a:pPr>
          <a:r>
            <a:rPr lang="zh-CN" altLang="en-US" sz="1000" b="0">
              <a:solidFill>
                <a:schemeClr val="tx1"/>
              </a:solidFill>
            </a:rPr>
            <a:t>综合主题探究课</a:t>
          </a:r>
          <a:endParaRPr>
            <a:solidFill>
              <a:schemeClr val="dk1"/>
            </a:solidFill>
          </a:endParaRPr>
        </a:p>
      </dsp:txBody>
      <dsp:txXfrm rot="5400000">
        <a:off x="3894242" y="-1352804"/>
        <a:ext cx="281858" cy="3797808"/>
      </dsp:txXfrm>
    </dsp:sp>
    <dsp:sp modelId="{8A16B4B3-73A5-4981-B6DA-F14B2A094809}">
      <dsp:nvSpPr>
        <dsp:cNvPr id="5" name="圆角矩形 4"/>
        <dsp:cNvSpPr/>
      </dsp:nvSpPr>
      <dsp:spPr bwMode="white">
        <a:xfrm>
          <a:off x="0" y="369939"/>
          <a:ext cx="2136267" cy="352323"/>
        </a:xfrm>
        <a:prstGeom prst="roundRect">
          <a:avLst/>
        </a:prstGeom>
      </dsp:spPr>
      <dsp:style>
        <a:lnRef idx="2">
          <a:schemeClr val="lt1"/>
        </a:lnRef>
        <a:fillRef idx="1">
          <a:schemeClr val="accent5">
            <a:hueOff val="-4950000"/>
            <a:satOff val="20000"/>
            <a:lumOff val="4314"/>
            <a:alpha val="100000"/>
          </a:schemeClr>
        </a:fillRef>
        <a:effectRef idx="0">
          <a:scrgbClr r="0" g="0" b="0"/>
        </a:effectRef>
        <a:fontRef idx="minor">
          <a:schemeClr val="lt1"/>
        </a:fontRef>
      </dsp:style>
      <dsp:txBody>
        <a:bodyPr lIns="38100" tIns="19050" rIns="381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rgbClr val="000000"/>
              </a:solidFill>
            </a:rPr>
            <a:t>研究性学习课程</a:t>
          </a:r>
        </a:p>
      </dsp:txBody>
      <dsp:txXfrm>
        <a:off x="0" y="369939"/>
        <a:ext cx="2136267" cy="352323"/>
      </dsp:txXfrm>
    </dsp:sp>
    <dsp:sp modelId="{A7858558-E8BE-4D9B-BB64-B19C7B5D2F57}">
      <dsp:nvSpPr>
        <dsp:cNvPr id="8" name="同侧圆角矩形 7"/>
        <dsp:cNvSpPr/>
      </dsp:nvSpPr>
      <dsp:spPr bwMode="white">
        <a:xfrm rot="5400000">
          <a:off x="3922363" y="-954744"/>
          <a:ext cx="281858" cy="3741566"/>
        </a:xfrm>
        <a:prstGeom prst="round2SameRect">
          <a:avLst/>
        </a:prstGeom>
      </dsp:spPr>
      <dsp:style>
        <a:lnRef idx="2">
          <a:schemeClr val="accent5">
            <a:tint val="40000"/>
            <a:alpha val="90000"/>
            <a:hueOff val="-10680000"/>
            <a:satOff val="50196"/>
            <a:lumOff val="3529"/>
            <a:alpha val="90196"/>
          </a:schemeClr>
        </a:lnRef>
        <a:fillRef idx="1">
          <a:schemeClr val="accent5">
            <a:tint val="40000"/>
            <a:alpha val="90000"/>
            <a:hueOff val="-10680000"/>
            <a:satOff val="50196"/>
            <a:lumOff val="3529"/>
            <a:alpha val="90196"/>
          </a:schemeClr>
        </a:fillRef>
        <a:effectRef idx="0">
          <a:scrgbClr r="0" g="0" b="0"/>
        </a:effectRef>
        <a:fontRef idx="minor"/>
      </dsp:style>
      <dsp:txBody>
        <a:bodyPr rot="-5400000" lIns="38100" tIns="19050" rIns="38100" bIns="19050" anchor="ctr"/>
        <a:lstStyle>
          <a:lvl1pPr algn="l">
            <a:defRPr sz="6500"/>
          </a:lvl1pPr>
          <a:lvl2pPr marL="285750" indent="-285750" algn="l">
            <a:defRPr sz="6500"/>
          </a:lvl2pPr>
          <a:lvl3pPr marL="571500" indent="-285750" algn="l">
            <a:defRPr sz="6500"/>
          </a:lvl3pPr>
          <a:lvl4pPr marL="857250" indent="-285750" algn="l">
            <a:defRPr sz="6500"/>
          </a:lvl4pPr>
          <a:lvl5pPr marL="1143000" indent="-285750" algn="l">
            <a:defRPr sz="6500"/>
          </a:lvl5pPr>
          <a:lvl6pPr marL="1428750" indent="-285750" algn="l">
            <a:defRPr sz="6500"/>
          </a:lvl6pPr>
          <a:lvl7pPr marL="1714500" indent="-285750" algn="l">
            <a:defRPr sz="6500"/>
          </a:lvl7pPr>
          <a:lvl8pPr marL="2000250" indent="-285750" algn="l">
            <a:defRPr sz="6500"/>
          </a:lvl8pPr>
          <a:lvl9pPr marL="2286000" indent="-285750" algn="l">
            <a:defRPr sz="6500"/>
          </a:lvl9pPr>
        </a:lstStyle>
        <a:p>
          <a:pPr marL="57150" lvl="1" indent="-57150">
            <a:lnSpc>
              <a:spcPct val="100000"/>
            </a:lnSpc>
            <a:spcBef>
              <a:spcPct val="0"/>
            </a:spcBef>
            <a:spcAft>
              <a:spcPct val="15000"/>
            </a:spcAft>
            <a:buChar char="•"/>
          </a:pPr>
          <a:r>
            <a:rPr lang="zh-CN" altLang="en-US" sz="1000" b="0">
              <a:solidFill>
                <a:schemeClr val="tx1"/>
              </a:solidFill>
            </a:rPr>
            <a:t>与校本德育课程和学科教学相结合</a:t>
          </a:r>
          <a:endParaRPr>
            <a:solidFill>
              <a:schemeClr val="dk1"/>
            </a:solidFill>
          </a:endParaRPr>
        </a:p>
      </dsp:txBody>
      <dsp:txXfrm rot="5400000">
        <a:off x="3922363" y="-954744"/>
        <a:ext cx="281858" cy="3741566"/>
      </dsp:txXfrm>
    </dsp:sp>
    <dsp:sp modelId="{7876BAAE-1693-4726-82C3-213E7DDF4461}">
      <dsp:nvSpPr>
        <dsp:cNvPr id="7" name="圆角矩形 6"/>
        <dsp:cNvSpPr/>
      </dsp:nvSpPr>
      <dsp:spPr bwMode="white">
        <a:xfrm>
          <a:off x="0" y="739877"/>
          <a:ext cx="2192509" cy="352323"/>
        </a:xfrm>
        <a:prstGeom prst="roundRect">
          <a:avLst/>
        </a:prstGeom>
      </dsp:spPr>
      <dsp:style>
        <a:lnRef idx="2">
          <a:schemeClr val="lt1"/>
        </a:lnRef>
        <a:fillRef idx="1">
          <a:schemeClr val="accent5">
            <a:hueOff val="-9900000"/>
            <a:satOff val="40000"/>
            <a:lumOff val="8627"/>
            <a:alpha val="100000"/>
          </a:schemeClr>
        </a:fillRef>
        <a:effectRef idx="0">
          <a:scrgbClr r="0" g="0" b="0"/>
        </a:effectRef>
        <a:fontRef idx="minor">
          <a:schemeClr val="lt1"/>
        </a:fontRef>
      </dsp:style>
      <dsp:txBody>
        <a:bodyPr lIns="38100" tIns="19050" rIns="3810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b="0">
              <a:solidFill>
                <a:srgbClr val="000000"/>
              </a:solidFill>
            </a:rPr>
            <a:t>社会实践与社会服务课程</a:t>
          </a:r>
        </a:p>
      </dsp:txBody>
      <dsp:txXfrm>
        <a:off x="0" y="739877"/>
        <a:ext cx="2192509" cy="3523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type="round2SameRect" r:blip="" rot="90">
                    <dgm:adjLst/>
                  </dgm:shape>
                </dgm:if>
                <dgm:else name="Name12">
                  <dgm:shape xmlns:r="http://schemas.openxmlformats.org/officeDocument/2006/relationships" type="round2SameRect" r:blip="" rot="-90">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3">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3">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6116</Words>
  <Characters>6197</Characters>
  <Lines>45</Lines>
  <Paragraphs>12</Paragraphs>
  <TotalTime>361</TotalTime>
  <ScaleCrop>false</ScaleCrop>
  <LinksUpToDate>false</LinksUpToDate>
  <CharactersWithSpaces>6248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2020-10-21T07:55:00Z</dcterms:created>
  <dc:creator>lenovo</dc:creator>
  <cp:lastModifiedBy>孙园蕊</cp:lastModifiedBy>
  <cp:lastPrinted>2017-10-17T06:10:00Z</cp:lastPrinted>
  <dcterms:modified xsi:type="dcterms:W3CDTF">2023-02-20T00:32:45Z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0575169922924BA8AC2166E4036265E6</vt:lpwstr>
  </property>
</Properties>
</file>